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E7E49" w14:textId="77777777" w:rsidR="00644FDF" w:rsidRPr="00BD4033" w:rsidRDefault="00C732FA" w:rsidP="00BD4033">
      <w:pPr>
        <w:pStyle w:val="Heading"/>
        <w:spacing w:line="240" w:lineRule="auto"/>
        <w:rPr>
          <w:rFonts w:ascii="Arial" w:hAnsi="Arial" w:cs="Arial"/>
          <w:b/>
          <w:bCs/>
          <w:color w:val="1F497D" w:themeColor="text2"/>
          <w:sz w:val="32"/>
          <w:szCs w:val="32"/>
          <w:lang w:val="en-GB"/>
        </w:rPr>
      </w:pPr>
      <w:r w:rsidRPr="00BD4033">
        <w:rPr>
          <w:rFonts w:ascii="Arial" w:hAnsi="Arial" w:cs="Arial"/>
          <w:b/>
          <w:bCs/>
          <w:color w:val="1F497D" w:themeColor="text2"/>
          <w:sz w:val="32"/>
          <w:szCs w:val="32"/>
          <w:lang w:val="en-GB"/>
        </w:rPr>
        <w:t xml:space="preserve">Insights into the quantification </w:t>
      </w:r>
    </w:p>
    <w:p w14:paraId="5DEF9E25" w14:textId="77777777" w:rsidR="00644FDF" w:rsidRPr="00BD4033" w:rsidRDefault="00C732FA" w:rsidP="00BD4033">
      <w:pPr>
        <w:pStyle w:val="Heading"/>
        <w:spacing w:line="240" w:lineRule="auto"/>
        <w:rPr>
          <w:rFonts w:ascii="Arial" w:hAnsi="Arial" w:cs="Arial"/>
          <w:b/>
          <w:bCs/>
          <w:color w:val="1F497D" w:themeColor="text2"/>
          <w:sz w:val="32"/>
          <w:szCs w:val="32"/>
          <w:lang w:val="en-GB"/>
        </w:rPr>
      </w:pPr>
      <w:r w:rsidRPr="00BD4033">
        <w:rPr>
          <w:rFonts w:ascii="Arial" w:hAnsi="Arial" w:cs="Arial"/>
          <w:b/>
          <w:bCs/>
          <w:color w:val="1F497D" w:themeColor="text2"/>
          <w:sz w:val="32"/>
          <w:szCs w:val="32"/>
          <w:lang w:val="en-GB"/>
        </w:rPr>
        <w:t xml:space="preserve">and reporting of model-related uncertainty </w:t>
      </w:r>
    </w:p>
    <w:p w14:paraId="4C92D34C" w14:textId="77777777" w:rsidR="00644FDF" w:rsidRPr="00BD4033" w:rsidRDefault="00C732FA" w:rsidP="00BD4033">
      <w:pPr>
        <w:pStyle w:val="Heading"/>
        <w:spacing w:line="240" w:lineRule="auto"/>
        <w:rPr>
          <w:rFonts w:ascii="Arial" w:hAnsi="Arial" w:cs="Arial"/>
          <w:b/>
          <w:bCs/>
          <w:color w:val="1F497D" w:themeColor="text2"/>
          <w:sz w:val="32"/>
          <w:szCs w:val="32"/>
          <w:lang w:val="en-GB"/>
        </w:rPr>
      </w:pPr>
      <w:r w:rsidRPr="00BD4033">
        <w:rPr>
          <w:rFonts w:ascii="Arial" w:hAnsi="Arial" w:cs="Arial"/>
          <w:b/>
          <w:bCs/>
          <w:color w:val="1F497D" w:themeColor="text2"/>
          <w:sz w:val="32"/>
          <w:szCs w:val="32"/>
          <w:lang w:val="en-GB"/>
        </w:rPr>
        <w:t>across different disciplines</w:t>
      </w:r>
    </w:p>
    <w:p w14:paraId="37C0ECFE" w14:textId="77777777" w:rsidR="00644FDF" w:rsidRDefault="00644FDF">
      <w:pPr>
        <w:rPr>
          <w:b/>
          <w:color w:val="2F5496"/>
          <w:sz w:val="40"/>
          <w:szCs w:val="44"/>
          <w:lang w:val="en-GB"/>
        </w:rPr>
      </w:pPr>
    </w:p>
    <w:p w14:paraId="7F5092B4" w14:textId="58209190" w:rsidR="00644FDF" w:rsidRDefault="00C732FA">
      <w:pPr>
        <w:rPr>
          <w:b/>
          <w:szCs w:val="28"/>
        </w:rPr>
      </w:pPr>
      <w:r>
        <w:rPr>
          <w:b/>
          <w:sz w:val="28"/>
          <w:szCs w:val="28"/>
        </w:rPr>
        <w:t xml:space="preserve">Authors: </w:t>
      </w:r>
      <w:r>
        <w:rPr>
          <w:szCs w:val="28"/>
        </w:rPr>
        <w:t>Emily G. Simmonds</w:t>
      </w:r>
      <w:r>
        <w:rPr>
          <w:szCs w:val="28"/>
          <w:vertAlign w:val="superscript"/>
        </w:rPr>
        <w:t>1,2</w:t>
      </w:r>
      <w:r>
        <w:rPr>
          <w:szCs w:val="28"/>
        </w:rPr>
        <w:t xml:space="preserve">*, Kwaku </w:t>
      </w:r>
      <w:proofErr w:type="spellStart"/>
      <w:r>
        <w:rPr>
          <w:szCs w:val="28"/>
        </w:rPr>
        <w:t>Peprah</w:t>
      </w:r>
      <w:proofErr w:type="spellEnd"/>
      <w:r>
        <w:rPr>
          <w:szCs w:val="28"/>
        </w:rPr>
        <w:t xml:space="preserve"> Adjei</w:t>
      </w:r>
      <w:r>
        <w:rPr>
          <w:szCs w:val="28"/>
          <w:vertAlign w:val="superscript"/>
        </w:rPr>
        <w:t>1,2</w:t>
      </w:r>
      <w:r>
        <w:rPr>
          <w:szCs w:val="28"/>
        </w:rPr>
        <w:t xml:space="preserve">, </w:t>
      </w:r>
      <w:proofErr w:type="spellStart"/>
      <w:r>
        <w:rPr>
          <w:szCs w:val="28"/>
        </w:rPr>
        <w:t>Christoffer</w:t>
      </w:r>
      <w:proofErr w:type="spellEnd"/>
      <w:r>
        <w:rPr>
          <w:szCs w:val="28"/>
        </w:rPr>
        <w:t xml:space="preserve"> </w:t>
      </w:r>
      <w:proofErr w:type="spellStart"/>
      <w:r>
        <w:rPr>
          <w:szCs w:val="28"/>
        </w:rPr>
        <w:t>Wold</w:t>
      </w:r>
      <w:proofErr w:type="spellEnd"/>
      <w:r>
        <w:rPr>
          <w:szCs w:val="28"/>
        </w:rPr>
        <w:t xml:space="preserve"> Andersen</w:t>
      </w:r>
      <w:r>
        <w:rPr>
          <w:szCs w:val="28"/>
          <w:vertAlign w:val="superscript"/>
        </w:rPr>
        <w:t>3</w:t>
      </w:r>
      <w:r>
        <w:rPr>
          <w:szCs w:val="28"/>
        </w:rPr>
        <w:t xml:space="preserve">, </w:t>
      </w:r>
      <w:proofErr w:type="spellStart"/>
      <w:r>
        <w:rPr>
          <w:szCs w:val="28"/>
        </w:rPr>
        <w:t>Janne</w:t>
      </w:r>
      <w:proofErr w:type="spellEnd"/>
      <w:r>
        <w:rPr>
          <w:szCs w:val="28"/>
        </w:rPr>
        <w:t xml:space="preserve"> </w:t>
      </w:r>
      <w:proofErr w:type="spellStart"/>
      <w:r>
        <w:rPr>
          <w:szCs w:val="28"/>
        </w:rPr>
        <w:t>Cathrin</w:t>
      </w:r>
      <w:proofErr w:type="spellEnd"/>
      <w:r>
        <w:rPr>
          <w:szCs w:val="28"/>
        </w:rPr>
        <w:t xml:space="preserve"> </w:t>
      </w:r>
      <w:proofErr w:type="spellStart"/>
      <w:r>
        <w:rPr>
          <w:szCs w:val="28"/>
        </w:rPr>
        <w:t>Hetle</w:t>
      </w:r>
      <w:proofErr w:type="spellEnd"/>
      <w:r>
        <w:rPr>
          <w:szCs w:val="28"/>
        </w:rPr>
        <w:t xml:space="preserve"> Aspheim</w:t>
      </w:r>
      <w:r>
        <w:rPr>
          <w:szCs w:val="28"/>
          <w:vertAlign w:val="superscript"/>
        </w:rPr>
        <w:t>1,2</w:t>
      </w:r>
      <w:r>
        <w:rPr>
          <w:szCs w:val="28"/>
        </w:rPr>
        <w:t>, Claudia Battistin</w:t>
      </w:r>
      <w:r>
        <w:rPr>
          <w:szCs w:val="28"/>
          <w:vertAlign w:val="superscript"/>
        </w:rPr>
        <w:t>4</w:t>
      </w:r>
      <w:r>
        <w:rPr>
          <w:szCs w:val="28"/>
        </w:rPr>
        <w:t>, Nicola Bulso</w:t>
      </w:r>
      <w:r>
        <w:rPr>
          <w:szCs w:val="28"/>
          <w:vertAlign w:val="superscript"/>
        </w:rPr>
        <w:t>4</w:t>
      </w:r>
      <w:r>
        <w:rPr>
          <w:szCs w:val="28"/>
        </w:rPr>
        <w:t>, Hannah Christensen</w:t>
      </w:r>
      <w:r w:rsidR="00AC1892">
        <w:rPr>
          <w:szCs w:val="28"/>
          <w:vertAlign w:val="superscript"/>
        </w:rPr>
        <w:t>5</w:t>
      </w:r>
      <w:r>
        <w:rPr>
          <w:szCs w:val="28"/>
        </w:rPr>
        <w:t>, Benjamin Cretois</w:t>
      </w:r>
      <w:r w:rsidR="00AC1892">
        <w:rPr>
          <w:szCs w:val="28"/>
          <w:vertAlign w:val="superscript"/>
        </w:rPr>
        <w:t>6</w:t>
      </w:r>
      <w:r>
        <w:rPr>
          <w:szCs w:val="28"/>
        </w:rPr>
        <w:t>, Ryan Cubero</w:t>
      </w:r>
      <w:r>
        <w:rPr>
          <w:szCs w:val="28"/>
          <w:vertAlign w:val="superscript"/>
        </w:rPr>
        <w:t>4</w:t>
      </w:r>
      <w:r>
        <w:rPr>
          <w:szCs w:val="28"/>
        </w:rPr>
        <w:t>, Iván A. Davidovich</w:t>
      </w:r>
      <w:r>
        <w:rPr>
          <w:szCs w:val="28"/>
          <w:vertAlign w:val="superscript"/>
        </w:rPr>
        <w:t>4</w:t>
      </w:r>
      <w:r>
        <w:rPr>
          <w:szCs w:val="28"/>
        </w:rPr>
        <w:t>, Lisa Dickel</w:t>
      </w:r>
      <w:r w:rsidR="00AC1892">
        <w:rPr>
          <w:szCs w:val="28"/>
          <w:vertAlign w:val="superscript"/>
        </w:rPr>
        <w:t>2,7</w:t>
      </w:r>
      <w:r>
        <w:rPr>
          <w:szCs w:val="28"/>
        </w:rPr>
        <w:t>, Benjamin Dunn</w:t>
      </w:r>
      <w:r>
        <w:rPr>
          <w:szCs w:val="28"/>
          <w:vertAlign w:val="superscript"/>
        </w:rPr>
        <w:t>1,4</w:t>
      </w:r>
      <w:r>
        <w:rPr>
          <w:szCs w:val="28"/>
        </w:rPr>
        <w:t>, Etienne Dunn-Sigouin</w:t>
      </w:r>
      <w:r w:rsidR="00AC1892">
        <w:rPr>
          <w:szCs w:val="28"/>
          <w:vertAlign w:val="superscript"/>
        </w:rPr>
        <w:t>8</w:t>
      </w:r>
      <w:r>
        <w:rPr>
          <w:szCs w:val="28"/>
          <w:vertAlign w:val="superscript"/>
        </w:rPr>
        <w:t>,</w:t>
      </w:r>
      <w:r w:rsidR="00AC1892">
        <w:rPr>
          <w:szCs w:val="28"/>
          <w:vertAlign w:val="superscript"/>
        </w:rPr>
        <w:t>9</w:t>
      </w:r>
      <w:r>
        <w:rPr>
          <w:szCs w:val="28"/>
        </w:rPr>
        <w:t>, Karin Dyrstad</w:t>
      </w:r>
      <w:r>
        <w:rPr>
          <w:szCs w:val="28"/>
          <w:vertAlign w:val="superscript"/>
        </w:rPr>
        <w:t>3</w:t>
      </w:r>
      <w:r>
        <w:rPr>
          <w:szCs w:val="28"/>
        </w:rPr>
        <w:t>, Sigurd Einum</w:t>
      </w:r>
      <w:r>
        <w:rPr>
          <w:szCs w:val="28"/>
          <w:vertAlign w:val="superscript"/>
        </w:rPr>
        <w:t>2</w:t>
      </w:r>
      <w:r>
        <w:rPr>
          <w:szCs w:val="28"/>
        </w:rPr>
        <w:t xml:space="preserve">, </w:t>
      </w:r>
      <w:proofErr w:type="spellStart"/>
      <w:r>
        <w:rPr>
          <w:szCs w:val="28"/>
        </w:rPr>
        <w:t>Donata</w:t>
      </w:r>
      <w:proofErr w:type="spellEnd"/>
      <w:r>
        <w:rPr>
          <w:szCs w:val="28"/>
        </w:rPr>
        <w:t xml:space="preserve"> Giglio</w:t>
      </w:r>
      <w:r>
        <w:rPr>
          <w:szCs w:val="28"/>
          <w:vertAlign w:val="superscript"/>
        </w:rPr>
        <w:t>1</w:t>
      </w:r>
      <w:r w:rsidR="006953B8">
        <w:rPr>
          <w:szCs w:val="28"/>
          <w:vertAlign w:val="superscript"/>
        </w:rPr>
        <w:t>0</w:t>
      </w:r>
      <w:r>
        <w:rPr>
          <w:szCs w:val="28"/>
        </w:rPr>
        <w:t>, Haakon Gjerløw</w:t>
      </w:r>
      <w:r>
        <w:rPr>
          <w:szCs w:val="28"/>
          <w:vertAlign w:val="superscript"/>
        </w:rPr>
        <w:t>1</w:t>
      </w:r>
      <w:r w:rsidR="006953B8">
        <w:rPr>
          <w:szCs w:val="28"/>
          <w:vertAlign w:val="superscript"/>
        </w:rPr>
        <w:t>1</w:t>
      </w:r>
      <w:r>
        <w:rPr>
          <w:szCs w:val="28"/>
        </w:rPr>
        <w:t>, Amélie Godefroidt</w:t>
      </w:r>
      <w:r w:rsidR="006953B8">
        <w:rPr>
          <w:szCs w:val="28"/>
          <w:vertAlign w:val="superscript"/>
        </w:rPr>
        <w:t>12</w:t>
      </w:r>
      <w:r>
        <w:rPr>
          <w:szCs w:val="28"/>
        </w:rPr>
        <w:t>, Ricardo González-Gil</w:t>
      </w:r>
      <w:r>
        <w:rPr>
          <w:szCs w:val="28"/>
          <w:vertAlign w:val="superscript"/>
        </w:rPr>
        <w:t>1</w:t>
      </w:r>
      <w:r w:rsidR="006953B8">
        <w:rPr>
          <w:szCs w:val="28"/>
          <w:vertAlign w:val="superscript"/>
        </w:rPr>
        <w:t>3</w:t>
      </w:r>
      <w:r>
        <w:rPr>
          <w:szCs w:val="28"/>
        </w:rPr>
        <w:t>, Soledad Gonzalo Cogno</w:t>
      </w:r>
      <w:r>
        <w:rPr>
          <w:szCs w:val="28"/>
          <w:vertAlign w:val="superscript"/>
        </w:rPr>
        <w:t>4</w:t>
      </w:r>
      <w:r>
        <w:rPr>
          <w:szCs w:val="28"/>
        </w:rPr>
        <w:t>, Fabian Große</w:t>
      </w:r>
      <w:r>
        <w:rPr>
          <w:szCs w:val="28"/>
          <w:vertAlign w:val="superscript"/>
        </w:rPr>
        <w:t>1</w:t>
      </w:r>
      <w:r w:rsidR="006953B8">
        <w:rPr>
          <w:szCs w:val="28"/>
          <w:vertAlign w:val="superscript"/>
        </w:rPr>
        <w:t>3</w:t>
      </w:r>
      <w:r>
        <w:rPr>
          <w:szCs w:val="28"/>
          <w:vertAlign w:val="superscript"/>
        </w:rPr>
        <w:t>,1</w:t>
      </w:r>
      <w:r w:rsidR="006953B8">
        <w:rPr>
          <w:szCs w:val="28"/>
          <w:vertAlign w:val="superscript"/>
        </w:rPr>
        <w:t>4</w:t>
      </w:r>
      <w:r>
        <w:rPr>
          <w:szCs w:val="28"/>
        </w:rPr>
        <w:t>, Paul Halloran</w:t>
      </w:r>
      <w:r>
        <w:rPr>
          <w:szCs w:val="28"/>
          <w:vertAlign w:val="superscript"/>
        </w:rPr>
        <w:t>1</w:t>
      </w:r>
      <w:r w:rsidR="006953B8">
        <w:rPr>
          <w:szCs w:val="28"/>
          <w:vertAlign w:val="superscript"/>
        </w:rPr>
        <w:t>5</w:t>
      </w:r>
      <w:r>
        <w:rPr>
          <w:szCs w:val="28"/>
        </w:rPr>
        <w:t>, Mari F. Jensen</w:t>
      </w:r>
      <w:r w:rsidR="006953B8">
        <w:rPr>
          <w:szCs w:val="28"/>
          <w:vertAlign w:val="superscript"/>
        </w:rPr>
        <w:t>8</w:t>
      </w:r>
      <w:r>
        <w:rPr>
          <w:szCs w:val="28"/>
        </w:rPr>
        <w:t>, John James Kennedy</w:t>
      </w:r>
      <w:r>
        <w:rPr>
          <w:szCs w:val="28"/>
          <w:vertAlign w:val="superscript"/>
        </w:rPr>
        <w:t>1</w:t>
      </w:r>
      <w:r w:rsidR="006953B8">
        <w:rPr>
          <w:szCs w:val="28"/>
          <w:vertAlign w:val="superscript"/>
        </w:rPr>
        <w:t>6</w:t>
      </w:r>
      <w:r>
        <w:rPr>
          <w:szCs w:val="28"/>
        </w:rPr>
        <w:t xml:space="preserve">, Peter </w:t>
      </w:r>
      <w:proofErr w:type="spellStart"/>
      <w:r>
        <w:rPr>
          <w:szCs w:val="28"/>
        </w:rPr>
        <w:t>Egge</w:t>
      </w:r>
      <w:proofErr w:type="spellEnd"/>
      <w:r>
        <w:rPr>
          <w:szCs w:val="28"/>
        </w:rPr>
        <w:t xml:space="preserve"> Langsæther</w:t>
      </w:r>
      <w:r>
        <w:rPr>
          <w:szCs w:val="28"/>
          <w:vertAlign w:val="superscript"/>
        </w:rPr>
        <w:t>1</w:t>
      </w:r>
      <w:r w:rsidR="006953B8">
        <w:rPr>
          <w:szCs w:val="28"/>
          <w:vertAlign w:val="superscript"/>
        </w:rPr>
        <w:t>7</w:t>
      </w:r>
      <w:r>
        <w:rPr>
          <w:szCs w:val="28"/>
        </w:rPr>
        <w:t>, Jack H. Laverick</w:t>
      </w:r>
      <w:r>
        <w:rPr>
          <w:szCs w:val="28"/>
          <w:vertAlign w:val="superscript"/>
        </w:rPr>
        <w:t>1</w:t>
      </w:r>
      <w:r w:rsidR="006953B8">
        <w:rPr>
          <w:szCs w:val="28"/>
          <w:vertAlign w:val="superscript"/>
        </w:rPr>
        <w:t>3</w:t>
      </w:r>
      <w:r>
        <w:rPr>
          <w:szCs w:val="28"/>
        </w:rPr>
        <w:t>, Debora Lederberger</w:t>
      </w:r>
      <w:r w:rsidR="006953B8">
        <w:rPr>
          <w:szCs w:val="28"/>
          <w:vertAlign w:val="superscript"/>
        </w:rPr>
        <w:t>18</w:t>
      </w:r>
      <w:r>
        <w:rPr>
          <w:szCs w:val="28"/>
        </w:rPr>
        <w:t>, Camille Li</w:t>
      </w:r>
      <w:r w:rsidR="00F56AC3">
        <w:rPr>
          <w:szCs w:val="28"/>
          <w:vertAlign w:val="superscript"/>
        </w:rPr>
        <w:t>9</w:t>
      </w:r>
      <w:r>
        <w:rPr>
          <w:szCs w:val="28"/>
          <w:vertAlign w:val="superscript"/>
        </w:rPr>
        <w:t>,1</w:t>
      </w:r>
      <w:r w:rsidR="006953B8">
        <w:rPr>
          <w:szCs w:val="28"/>
          <w:vertAlign w:val="superscript"/>
        </w:rPr>
        <w:t>9</w:t>
      </w:r>
      <w:r>
        <w:rPr>
          <w:szCs w:val="28"/>
        </w:rPr>
        <w:t>, Elizabeth</w:t>
      </w:r>
      <w:r w:rsidR="00992EDD">
        <w:rPr>
          <w:szCs w:val="28"/>
        </w:rPr>
        <w:t xml:space="preserve"> G.</w:t>
      </w:r>
      <w:r>
        <w:rPr>
          <w:szCs w:val="28"/>
        </w:rPr>
        <w:t xml:space="preserve"> Mandeville</w:t>
      </w:r>
      <w:r>
        <w:rPr>
          <w:szCs w:val="28"/>
          <w:vertAlign w:val="superscript"/>
        </w:rPr>
        <w:t>2</w:t>
      </w:r>
      <w:r w:rsidR="006953B8">
        <w:rPr>
          <w:szCs w:val="28"/>
          <w:vertAlign w:val="superscript"/>
        </w:rPr>
        <w:t>0</w:t>
      </w:r>
      <w:r>
        <w:rPr>
          <w:szCs w:val="28"/>
        </w:rPr>
        <w:t>, Caitlin Mandeville</w:t>
      </w:r>
      <w:r>
        <w:rPr>
          <w:szCs w:val="28"/>
          <w:vertAlign w:val="superscript"/>
        </w:rPr>
        <w:t>2,2</w:t>
      </w:r>
      <w:r w:rsidR="006953B8">
        <w:rPr>
          <w:szCs w:val="28"/>
          <w:vertAlign w:val="superscript"/>
        </w:rPr>
        <w:t>1</w:t>
      </w:r>
      <w:r>
        <w:rPr>
          <w:szCs w:val="28"/>
        </w:rPr>
        <w:t>, Espen Moe</w:t>
      </w:r>
      <w:r>
        <w:rPr>
          <w:szCs w:val="28"/>
          <w:vertAlign w:val="superscript"/>
        </w:rPr>
        <w:t>3</w:t>
      </w:r>
      <w:r>
        <w:rPr>
          <w:szCs w:val="28"/>
        </w:rPr>
        <w:t>, Tobias Navarro Schröder</w:t>
      </w:r>
      <w:r>
        <w:rPr>
          <w:szCs w:val="28"/>
          <w:vertAlign w:val="superscript"/>
        </w:rPr>
        <w:t>4</w:t>
      </w:r>
      <w:r>
        <w:rPr>
          <w:szCs w:val="28"/>
        </w:rPr>
        <w:t>, David Nunan</w:t>
      </w:r>
      <w:r>
        <w:rPr>
          <w:szCs w:val="28"/>
          <w:vertAlign w:val="superscript"/>
        </w:rPr>
        <w:t>2</w:t>
      </w:r>
      <w:r w:rsidR="006953B8">
        <w:rPr>
          <w:szCs w:val="28"/>
          <w:vertAlign w:val="superscript"/>
        </w:rPr>
        <w:t>2</w:t>
      </w:r>
      <w:r>
        <w:rPr>
          <w:szCs w:val="28"/>
        </w:rPr>
        <w:t xml:space="preserve">, Jorge </w:t>
      </w:r>
      <w:proofErr w:type="spellStart"/>
      <w:r>
        <w:rPr>
          <w:szCs w:val="28"/>
        </w:rPr>
        <w:t>Sicacha</w:t>
      </w:r>
      <w:proofErr w:type="spellEnd"/>
      <w:r>
        <w:rPr>
          <w:szCs w:val="28"/>
        </w:rPr>
        <w:t xml:space="preserve"> Parada</w:t>
      </w:r>
      <w:r>
        <w:rPr>
          <w:szCs w:val="28"/>
          <w:vertAlign w:val="superscript"/>
        </w:rPr>
        <w:t>1,2</w:t>
      </w:r>
      <w:r>
        <w:rPr>
          <w:szCs w:val="28"/>
        </w:rPr>
        <w:t>, Melanie Rae Simpson</w:t>
      </w:r>
      <w:r>
        <w:rPr>
          <w:szCs w:val="28"/>
          <w:vertAlign w:val="superscript"/>
        </w:rPr>
        <w:t>2</w:t>
      </w:r>
      <w:r w:rsidR="00AC1892">
        <w:rPr>
          <w:szCs w:val="28"/>
          <w:vertAlign w:val="superscript"/>
        </w:rPr>
        <w:t>4</w:t>
      </w:r>
      <w:r>
        <w:rPr>
          <w:szCs w:val="28"/>
          <w:vertAlign w:val="superscript"/>
        </w:rPr>
        <w:t>,2</w:t>
      </w:r>
      <w:r w:rsidR="00AC1892">
        <w:rPr>
          <w:szCs w:val="28"/>
          <w:vertAlign w:val="superscript"/>
        </w:rPr>
        <w:t>5</w:t>
      </w:r>
      <w:r>
        <w:rPr>
          <w:szCs w:val="28"/>
        </w:rPr>
        <w:t>, Emma Sofie Skarstein</w:t>
      </w:r>
      <w:r>
        <w:rPr>
          <w:szCs w:val="28"/>
          <w:vertAlign w:val="superscript"/>
        </w:rPr>
        <w:t>1</w:t>
      </w:r>
      <w:r>
        <w:rPr>
          <w:szCs w:val="28"/>
        </w:rPr>
        <w:t>, Clemens Spensberger</w:t>
      </w:r>
      <w:r w:rsidR="00F56AC3">
        <w:rPr>
          <w:szCs w:val="28"/>
          <w:vertAlign w:val="superscript"/>
        </w:rPr>
        <w:t>9</w:t>
      </w:r>
      <w:r w:rsidR="00C10F51">
        <w:rPr>
          <w:szCs w:val="28"/>
          <w:vertAlign w:val="superscript"/>
        </w:rPr>
        <w:t>,1</w:t>
      </w:r>
      <w:r w:rsidR="006953B8">
        <w:rPr>
          <w:szCs w:val="28"/>
          <w:vertAlign w:val="superscript"/>
        </w:rPr>
        <w:t>9</w:t>
      </w:r>
      <w:r>
        <w:rPr>
          <w:szCs w:val="28"/>
        </w:rPr>
        <w:t>, Richard Stevens</w:t>
      </w:r>
      <w:r>
        <w:rPr>
          <w:szCs w:val="28"/>
          <w:vertAlign w:val="superscript"/>
        </w:rPr>
        <w:t>2</w:t>
      </w:r>
      <w:r w:rsidR="006953B8">
        <w:rPr>
          <w:szCs w:val="28"/>
          <w:vertAlign w:val="superscript"/>
        </w:rPr>
        <w:t>3</w:t>
      </w:r>
      <w:r>
        <w:rPr>
          <w:szCs w:val="28"/>
        </w:rPr>
        <w:t>, Aneesh Subramanian</w:t>
      </w:r>
      <w:r>
        <w:rPr>
          <w:szCs w:val="28"/>
          <w:vertAlign w:val="superscript"/>
        </w:rPr>
        <w:t>1</w:t>
      </w:r>
      <w:r w:rsidR="006953B8">
        <w:rPr>
          <w:szCs w:val="28"/>
          <w:vertAlign w:val="superscript"/>
        </w:rPr>
        <w:t>0</w:t>
      </w:r>
      <w:r>
        <w:rPr>
          <w:szCs w:val="28"/>
        </w:rPr>
        <w:t>, Lea Svendsen</w:t>
      </w:r>
      <w:r w:rsidR="00F56AC3">
        <w:rPr>
          <w:szCs w:val="28"/>
          <w:vertAlign w:val="superscript"/>
        </w:rPr>
        <w:t>9</w:t>
      </w:r>
      <w:r w:rsidR="00C10F51">
        <w:rPr>
          <w:szCs w:val="28"/>
          <w:vertAlign w:val="superscript"/>
        </w:rPr>
        <w:t>,1</w:t>
      </w:r>
      <w:r w:rsidR="006953B8">
        <w:rPr>
          <w:szCs w:val="28"/>
          <w:vertAlign w:val="superscript"/>
        </w:rPr>
        <w:t>9</w:t>
      </w:r>
      <w:r>
        <w:rPr>
          <w:szCs w:val="28"/>
        </w:rPr>
        <w:t>, Ole Magnus Theisen</w:t>
      </w:r>
      <w:r>
        <w:rPr>
          <w:szCs w:val="28"/>
          <w:vertAlign w:val="superscript"/>
        </w:rPr>
        <w:t>3</w:t>
      </w:r>
      <w:r w:rsidR="00543796">
        <w:rPr>
          <w:szCs w:val="28"/>
          <w:vertAlign w:val="superscript"/>
        </w:rPr>
        <w:t>,26</w:t>
      </w:r>
      <w:r>
        <w:rPr>
          <w:szCs w:val="28"/>
        </w:rPr>
        <w:t>, Connor Watret</w:t>
      </w:r>
      <w:r>
        <w:rPr>
          <w:szCs w:val="28"/>
          <w:vertAlign w:val="superscript"/>
        </w:rPr>
        <w:t>1</w:t>
      </w:r>
      <w:r w:rsidR="006953B8">
        <w:rPr>
          <w:szCs w:val="28"/>
          <w:vertAlign w:val="superscript"/>
        </w:rPr>
        <w:t>3</w:t>
      </w:r>
      <w:r>
        <w:rPr>
          <w:szCs w:val="28"/>
        </w:rPr>
        <w:t>, Robert B. O’Hara</w:t>
      </w:r>
      <w:r>
        <w:rPr>
          <w:szCs w:val="28"/>
          <w:vertAlign w:val="superscript"/>
        </w:rPr>
        <w:t>1,2</w:t>
      </w:r>
    </w:p>
    <w:p w14:paraId="5118F9B4" w14:textId="77777777" w:rsidR="00644FDF" w:rsidRDefault="00644FDF">
      <w:pPr>
        <w:rPr>
          <w:b/>
          <w:sz w:val="28"/>
          <w:szCs w:val="28"/>
        </w:rPr>
      </w:pPr>
    </w:p>
    <w:p w14:paraId="46304109" w14:textId="77777777" w:rsidR="00644FDF" w:rsidRDefault="00C732FA">
      <w:pPr>
        <w:rPr>
          <w:b/>
          <w:sz w:val="28"/>
          <w:szCs w:val="28"/>
        </w:rPr>
      </w:pPr>
      <w:r>
        <w:rPr>
          <w:b/>
          <w:sz w:val="28"/>
          <w:szCs w:val="28"/>
        </w:rPr>
        <w:t>Affiliations:</w:t>
      </w:r>
    </w:p>
    <w:p w14:paraId="443BDD85" w14:textId="61A55A65" w:rsidR="00644FDF" w:rsidRDefault="00C732FA">
      <w:pPr>
        <w:rPr>
          <w:szCs w:val="28"/>
        </w:rPr>
      </w:pPr>
      <w:r>
        <w:rPr>
          <w:szCs w:val="28"/>
          <w:vertAlign w:val="superscript"/>
        </w:rPr>
        <w:t>1</w:t>
      </w:r>
      <w:r>
        <w:rPr>
          <w:szCs w:val="28"/>
        </w:rPr>
        <w:t xml:space="preserve">Department of Mathematical Sciences, Norwegian University of Science and Technology, Trondheim, </w:t>
      </w:r>
      <w:proofErr w:type="spellStart"/>
      <w:r>
        <w:rPr>
          <w:szCs w:val="28"/>
        </w:rPr>
        <w:t>Trøndelag</w:t>
      </w:r>
      <w:proofErr w:type="spellEnd"/>
      <w:r>
        <w:rPr>
          <w:szCs w:val="28"/>
        </w:rPr>
        <w:t xml:space="preserve">, </w:t>
      </w:r>
      <w:r w:rsidR="00992EDD">
        <w:rPr>
          <w:szCs w:val="28"/>
        </w:rPr>
        <w:t>7034</w:t>
      </w:r>
      <w:r>
        <w:rPr>
          <w:szCs w:val="28"/>
        </w:rPr>
        <w:t xml:space="preserve">, Norway. </w:t>
      </w:r>
    </w:p>
    <w:p w14:paraId="31AB0860" w14:textId="65513D72" w:rsidR="00992EDD" w:rsidRPr="00992EDD" w:rsidRDefault="00C732FA">
      <w:pPr>
        <w:rPr>
          <w:szCs w:val="28"/>
        </w:rPr>
      </w:pPr>
      <w:r>
        <w:rPr>
          <w:szCs w:val="28"/>
          <w:vertAlign w:val="superscript"/>
        </w:rPr>
        <w:t>2</w:t>
      </w:r>
      <w:r>
        <w:rPr>
          <w:szCs w:val="28"/>
        </w:rPr>
        <w:t xml:space="preserve">The Centre for Biodiversity Dynamics, Norwegian University of Science and Technology, Trondheim, </w:t>
      </w:r>
      <w:proofErr w:type="spellStart"/>
      <w:r>
        <w:rPr>
          <w:szCs w:val="28"/>
        </w:rPr>
        <w:t>Trøndelag</w:t>
      </w:r>
      <w:proofErr w:type="spellEnd"/>
      <w:r>
        <w:rPr>
          <w:szCs w:val="28"/>
        </w:rPr>
        <w:t>, 7491, Norway.</w:t>
      </w:r>
    </w:p>
    <w:p w14:paraId="7D8FA949" w14:textId="77777777" w:rsidR="00644FDF" w:rsidRDefault="00C732FA">
      <w:pPr>
        <w:rPr>
          <w:szCs w:val="28"/>
        </w:rPr>
      </w:pPr>
      <w:r>
        <w:rPr>
          <w:szCs w:val="28"/>
          <w:vertAlign w:val="superscript"/>
        </w:rPr>
        <w:t>3</w:t>
      </w:r>
      <w:r>
        <w:rPr>
          <w:szCs w:val="28"/>
        </w:rPr>
        <w:t xml:space="preserve">Department of Sociology and Political Science, Norwegian University of Science and Technology, Trondheim, </w:t>
      </w:r>
      <w:proofErr w:type="spellStart"/>
      <w:r>
        <w:rPr>
          <w:szCs w:val="28"/>
        </w:rPr>
        <w:t>Trøndelag</w:t>
      </w:r>
      <w:proofErr w:type="spellEnd"/>
      <w:r>
        <w:rPr>
          <w:szCs w:val="28"/>
        </w:rPr>
        <w:t>, 7491, Norway.</w:t>
      </w:r>
    </w:p>
    <w:p w14:paraId="0835EC00" w14:textId="63F772E4" w:rsidR="00992EDD" w:rsidRDefault="00C732FA" w:rsidP="00992EDD">
      <w:pPr>
        <w:rPr>
          <w:szCs w:val="28"/>
        </w:rPr>
      </w:pPr>
      <w:r>
        <w:rPr>
          <w:szCs w:val="28"/>
          <w:vertAlign w:val="superscript"/>
        </w:rPr>
        <w:t>4</w:t>
      </w:r>
      <w:r w:rsidR="00992EDD" w:rsidRPr="00992EDD">
        <w:rPr>
          <w:szCs w:val="28"/>
        </w:rPr>
        <w:t>Kavli Institute for Systems Neuroscience and Centre for Neural Computation, Norwegian University of Science and Technology, Trondheim,</w:t>
      </w:r>
      <w:r w:rsidR="00992EDD">
        <w:rPr>
          <w:szCs w:val="28"/>
        </w:rPr>
        <w:t xml:space="preserve"> 7491,</w:t>
      </w:r>
      <w:r w:rsidR="00992EDD" w:rsidRPr="00992EDD">
        <w:rPr>
          <w:szCs w:val="28"/>
        </w:rPr>
        <w:t> Norway</w:t>
      </w:r>
    </w:p>
    <w:p w14:paraId="0089B452" w14:textId="5865677B" w:rsidR="00992EDD" w:rsidRDefault="00AC1892" w:rsidP="00992EDD">
      <w:pPr>
        <w:rPr>
          <w:szCs w:val="28"/>
        </w:rPr>
      </w:pPr>
      <w:r>
        <w:rPr>
          <w:szCs w:val="28"/>
          <w:vertAlign w:val="superscript"/>
        </w:rPr>
        <w:t>5</w:t>
      </w:r>
      <w:r w:rsidR="00992EDD" w:rsidRPr="00992EDD">
        <w:rPr>
          <w:szCs w:val="28"/>
        </w:rPr>
        <w:t xml:space="preserve">Department of Physics, University of Oxford, Oxford, </w:t>
      </w:r>
      <w:proofErr w:type="spellStart"/>
      <w:r w:rsidR="00992EDD" w:rsidRPr="00992EDD">
        <w:rPr>
          <w:szCs w:val="28"/>
        </w:rPr>
        <w:t>Oxfordshire</w:t>
      </w:r>
      <w:proofErr w:type="spellEnd"/>
      <w:r w:rsidR="00992EDD" w:rsidRPr="00992EDD">
        <w:rPr>
          <w:szCs w:val="28"/>
        </w:rPr>
        <w:t>, OX1 3PU, UK</w:t>
      </w:r>
    </w:p>
    <w:p w14:paraId="5B15E084" w14:textId="004BA938" w:rsidR="00644FDF" w:rsidRDefault="00AC1892">
      <w:pPr>
        <w:rPr>
          <w:szCs w:val="28"/>
        </w:rPr>
      </w:pPr>
      <w:r>
        <w:rPr>
          <w:szCs w:val="28"/>
          <w:vertAlign w:val="superscript"/>
        </w:rPr>
        <w:t>6</w:t>
      </w:r>
      <w:r w:rsidR="00C732FA">
        <w:t xml:space="preserve">Norwegian Institute for Nature Research, PO Box 5685, </w:t>
      </w:r>
      <w:proofErr w:type="spellStart"/>
      <w:r w:rsidR="00C732FA">
        <w:t>Torgarden</w:t>
      </w:r>
      <w:proofErr w:type="spellEnd"/>
      <w:r w:rsidR="00C732FA">
        <w:t xml:space="preserve">, Trondheim, </w:t>
      </w:r>
      <w:proofErr w:type="spellStart"/>
      <w:r w:rsidR="00992EDD">
        <w:rPr>
          <w:szCs w:val="28"/>
        </w:rPr>
        <w:t>Trøndelag</w:t>
      </w:r>
      <w:proofErr w:type="spellEnd"/>
      <w:r w:rsidR="00992EDD">
        <w:rPr>
          <w:szCs w:val="28"/>
        </w:rPr>
        <w:t xml:space="preserve">, </w:t>
      </w:r>
      <w:r w:rsidR="00992EDD">
        <w:t xml:space="preserve">7485, </w:t>
      </w:r>
      <w:r w:rsidR="00C732FA">
        <w:t>Norway</w:t>
      </w:r>
    </w:p>
    <w:p w14:paraId="71531D23" w14:textId="6D944384" w:rsidR="00644FDF" w:rsidRDefault="00AC1892">
      <w:pPr>
        <w:rPr>
          <w:szCs w:val="28"/>
        </w:rPr>
      </w:pPr>
      <w:r>
        <w:rPr>
          <w:szCs w:val="28"/>
          <w:vertAlign w:val="superscript"/>
        </w:rPr>
        <w:t>7</w:t>
      </w:r>
      <w:r w:rsidR="00992EDD">
        <w:rPr>
          <w:szCs w:val="28"/>
        </w:rPr>
        <w:t xml:space="preserve">Institute for </w:t>
      </w:r>
      <w:r w:rsidR="00C732FA">
        <w:rPr>
          <w:szCs w:val="28"/>
        </w:rPr>
        <w:t xml:space="preserve">Biology, Norwegian University of Science and Technology, Trondheim, </w:t>
      </w:r>
      <w:proofErr w:type="spellStart"/>
      <w:r w:rsidR="00C732FA">
        <w:rPr>
          <w:szCs w:val="28"/>
        </w:rPr>
        <w:t>Trøndelag</w:t>
      </w:r>
      <w:proofErr w:type="spellEnd"/>
      <w:r w:rsidR="00C732FA">
        <w:rPr>
          <w:szCs w:val="28"/>
        </w:rPr>
        <w:t>, 7491, Norway.</w:t>
      </w:r>
    </w:p>
    <w:p w14:paraId="087A1874" w14:textId="6CE8F838" w:rsidR="00992EDD" w:rsidRPr="00992EDD" w:rsidRDefault="00AC1892" w:rsidP="00992EDD">
      <w:pPr>
        <w:rPr>
          <w:szCs w:val="28"/>
          <w:lang w:val="en-NO"/>
        </w:rPr>
      </w:pPr>
      <w:r>
        <w:rPr>
          <w:szCs w:val="28"/>
          <w:vertAlign w:val="superscript"/>
          <w:lang w:val="en-GB"/>
        </w:rPr>
        <w:t>8</w:t>
      </w:r>
      <w:r w:rsidR="00992EDD" w:rsidRPr="00992EDD">
        <w:rPr>
          <w:szCs w:val="28"/>
          <w:lang w:val="en-NO"/>
        </w:rPr>
        <w:t>Bjerknes Centre for Climate Research, Bergen, </w:t>
      </w:r>
      <w:proofErr w:type="spellStart"/>
      <w:r w:rsidR="00992EDD" w:rsidRPr="00992EDD">
        <w:rPr>
          <w:szCs w:val="28"/>
          <w:lang w:val="en-US"/>
        </w:rPr>
        <w:t>Vestland</w:t>
      </w:r>
      <w:proofErr w:type="spellEnd"/>
      <w:r w:rsidR="00992EDD" w:rsidRPr="00992EDD">
        <w:rPr>
          <w:szCs w:val="28"/>
          <w:lang w:val="en-US"/>
        </w:rPr>
        <w:t>, 5007, </w:t>
      </w:r>
      <w:r w:rsidR="00992EDD" w:rsidRPr="00992EDD">
        <w:rPr>
          <w:szCs w:val="28"/>
          <w:lang w:val="en-NO"/>
        </w:rPr>
        <w:t>Norway.</w:t>
      </w:r>
    </w:p>
    <w:p w14:paraId="202DCE6E" w14:textId="3E6CA7B6" w:rsidR="00644FDF" w:rsidRDefault="00AC1892">
      <w:pPr>
        <w:rPr>
          <w:szCs w:val="28"/>
        </w:rPr>
      </w:pPr>
      <w:r>
        <w:rPr>
          <w:szCs w:val="28"/>
          <w:vertAlign w:val="superscript"/>
        </w:rPr>
        <w:t>9</w:t>
      </w:r>
      <w:r w:rsidR="00992EDD" w:rsidRPr="00992EDD">
        <w:rPr>
          <w:szCs w:val="28"/>
        </w:rPr>
        <w:t>NORCE Norwegian Research Centre AS</w:t>
      </w:r>
      <w:r w:rsidR="001C5811">
        <w:rPr>
          <w:szCs w:val="28"/>
        </w:rPr>
        <w:t xml:space="preserve">, Bergen, </w:t>
      </w:r>
      <w:proofErr w:type="spellStart"/>
      <w:r w:rsidR="001C5811">
        <w:rPr>
          <w:szCs w:val="28"/>
        </w:rPr>
        <w:t>Vestland</w:t>
      </w:r>
      <w:proofErr w:type="spellEnd"/>
      <w:r w:rsidR="001C5811">
        <w:rPr>
          <w:szCs w:val="28"/>
        </w:rPr>
        <w:t>, 5838, Norway</w:t>
      </w:r>
    </w:p>
    <w:p w14:paraId="696ACF13" w14:textId="28E88B56" w:rsidR="006953B8" w:rsidRDefault="006953B8">
      <w:pPr>
        <w:rPr>
          <w:szCs w:val="28"/>
        </w:rPr>
      </w:pPr>
      <w:r w:rsidRPr="001C5811">
        <w:rPr>
          <w:szCs w:val="28"/>
          <w:vertAlign w:val="superscript"/>
        </w:rPr>
        <w:t>1</w:t>
      </w:r>
      <w:r>
        <w:rPr>
          <w:szCs w:val="28"/>
          <w:vertAlign w:val="superscript"/>
        </w:rPr>
        <w:t>0</w:t>
      </w:r>
      <w:r>
        <w:rPr>
          <w:szCs w:val="28"/>
        </w:rPr>
        <w:t xml:space="preserve">The Department of Atmospheric and Ocean Sciences, </w:t>
      </w:r>
      <w:r w:rsidRPr="001C5811">
        <w:rPr>
          <w:szCs w:val="28"/>
        </w:rPr>
        <w:t>University</w:t>
      </w:r>
      <w:r>
        <w:rPr>
          <w:szCs w:val="28"/>
        </w:rPr>
        <w:t xml:space="preserve"> of Colorado Boulder, Boulder, Colorado, 80309-0311, United States of America</w:t>
      </w:r>
    </w:p>
    <w:p w14:paraId="134AEE01" w14:textId="5302A385" w:rsidR="00644FDF" w:rsidRDefault="00C732FA">
      <w:pPr>
        <w:rPr>
          <w:szCs w:val="28"/>
        </w:rPr>
      </w:pPr>
      <w:r>
        <w:rPr>
          <w:szCs w:val="28"/>
          <w:vertAlign w:val="superscript"/>
        </w:rPr>
        <w:t>1</w:t>
      </w:r>
      <w:r w:rsidR="006953B8">
        <w:rPr>
          <w:szCs w:val="28"/>
          <w:vertAlign w:val="superscript"/>
        </w:rPr>
        <w:t>1</w:t>
      </w:r>
      <w:r>
        <w:rPr>
          <w:szCs w:val="28"/>
        </w:rPr>
        <w:t>Peace Research Institute Oslo (PRIO)</w:t>
      </w:r>
      <w:r w:rsidR="001C5811">
        <w:rPr>
          <w:szCs w:val="28"/>
        </w:rPr>
        <w:t xml:space="preserve">, Oslo, </w:t>
      </w:r>
      <w:proofErr w:type="spellStart"/>
      <w:r w:rsidR="001C5811">
        <w:rPr>
          <w:szCs w:val="28"/>
        </w:rPr>
        <w:t>Østlandet</w:t>
      </w:r>
      <w:proofErr w:type="spellEnd"/>
      <w:r w:rsidR="001C5811">
        <w:rPr>
          <w:szCs w:val="28"/>
        </w:rPr>
        <w:t>, 0186, Norway</w:t>
      </w:r>
    </w:p>
    <w:p w14:paraId="24CA2E64" w14:textId="03B5EB7A" w:rsidR="006953B8" w:rsidRDefault="006953B8" w:rsidP="006953B8">
      <w:pPr>
        <w:rPr>
          <w:szCs w:val="28"/>
        </w:rPr>
      </w:pPr>
      <w:r>
        <w:rPr>
          <w:szCs w:val="28"/>
          <w:vertAlign w:val="superscript"/>
        </w:rPr>
        <w:t>12</w:t>
      </w:r>
      <w:r w:rsidRPr="00992EDD">
        <w:rPr>
          <w:szCs w:val="28"/>
        </w:rPr>
        <w:t>KU Leuven, 3000 Leuven, Belgium</w:t>
      </w:r>
    </w:p>
    <w:p w14:paraId="56605B38" w14:textId="2C245030" w:rsidR="006953B8" w:rsidRDefault="006953B8" w:rsidP="006953B8">
      <w:pPr>
        <w:rPr>
          <w:szCs w:val="28"/>
        </w:rPr>
      </w:pPr>
      <w:r>
        <w:rPr>
          <w:szCs w:val="28"/>
          <w:vertAlign w:val="superscript"/>
        </w:rPr>
        <w:t>13</w:t>
      </w:r>
      <w:r>
        <w:rPr>
          <w:szCs w:val="28"/>
        </w:rPr>
        <w:t xml:space="preserve">Department of Mathematics and Statistics, University of Strathclyde, </w:t>
      </w:r>
      <w:r>
        <w:t>Glasgow, Lanarkshire, G1 1XH, United Kingdom</w:t>
      </w:r>
      <w:r>
        <w:rPr>
          <w:szCs w:val="28"/>
        </w:rPr>
        <w:t>.</w:t>
      </w:r>
    </w:p>
    <w:p w14:paraId="27480800" w14:textId="195D085D" w:rsidR="006953B8" w:rsidRDefault="006953B8">
      <w:pPr>
        <w:rPr>
          <w:szCs w:val="28"/>
        </w:rPr>
      </w:pPr>
      <w:r>
        <w:rPr>
          <w:szCs w:val="28"/>
          <w:vertAlign w:val="superscript"/>
        </w:rPr>
        <w:t>14</w:t>
      </w:r>
      <w:r>
        <w:rPr>
          <w:szCs w:val="28"/>
        </w:rPr>
        <w:t xml:space="preserve">Department of Microbial Ecology, Federal Institute of Hydrology, </w:t>
      </w:r>
      <w:proofErr w:type="spellStart"/>
      <w:r>
        <w:rPr>
          <w:szCs w:val="28"/>
        </w:rPr>
        <w:t>Wedeler</w:t>
      </w:r>
      <w:proofErr w:type="spellEnd"/>
      <w:r>
        <w:rPr>
          <w:szCs w:val="28"/>
        </w:rPr>
        <w:t xml:space="preserve"> </w:t>
      </w:r>
      <w:proofErr w:type="spellStart"/>
      <w:r>
        <w:rPr>
          <w:szCs w:val="28"/>
        </w:rPr>
        <w:t>Landstraße</w:t>
      </w:r>
      <w:proofErr w:type="spellEnd"/>
      <w:r>
        <w:rPr>
          <w:szCs w:val="28"/>
        </w:rPr>
        <w:t xml:space="preserve"> 157, Hamburg, 22559, Germany</w:t>
      </w:r>
    </w:p>
    <w:p w14:paraId="28DD9175" w14:textId="75CFA266" w:rsidR="00644FDF" w:rsidRDefault="006953B8">
      <w:pPr>
        <w:rPr>
          <w:szCs w:val="28"/>
        </w:rPr>
      </w:pPr>
      <w:r>
        <w:rPr>
          <w:szCs w:val="28"/>
          <w:vertAlign w:val="superscript"/>
        </w:rPr>
        <w:t>15</w:t>
      </w:r>
      <w:r w:rsidRPr="00992EDD">
        <w:rPr>
          <w:szCs w:val="28"/>
        </w:rPr>
        <w:t>Faculty of Environment, Science and Economy, University of Exeter</w:t>
      </w:r>
      <w:r>
        <w:rPr>
          <w:szCs w:val="28"/>
        </w:rPr>
        <w:t>, Exeter, Devon, EX4 4SB, UK</w:t>
      </w:r>
    </w:p>
    <w:p w14:paraId="5721F352" w14:textId="1D1CFAEC" w:rsidR="00644FDF" w:rsidRDefault="00C732FA">
      <w:pPr>
        <w:rPr>
          <w:szCs w:val="28"/>
        </w:rPr>
      </w:pPr>
      <w:r>
        <w:rPr>
          <w:szCs w:val="28"/>
          <w:vertAlign w:val="superscript"/>
        </w:rPr>
        <w:t>1</w:t>
      </w:r>
      <w:r w:rsidR="006953B8">
        <w:rPr>
          <w:szCs w:val="28"/>
          <w:vertAlign w:val="superscript"/>
        </w:rPr>
        <w:t>6</w:t>
      </w:r>
      <w:r>
        <w:rPr>
          <w:szCs w:val="28"/>
        </w:rPr>
        <w:t>Met Office,</w:t>
      </w:r>
      <w:r w:rsidR="00F56AC3">
        <w:rPr>
          <w:szCs w:val="28"/>
        </w:rPr>
        <w:t xml:space="preserve"> Exeter, Devon, EX1 3PB,</w:t>
      </w:r>
      <w:r>
        <w:rPr>
          <w:szCs w:val="28"/>
        </w:rPr>
        <w:t xml:space="preserve"> UK.</w:t>
      </w:r>
    </w:p>
    <w:p w14:paraId="4C806502" w14:textId="09E0AE59" w:rsidR="00644FDF" w:rsidRDefault="00C732FA">
      <w:pPr>
        <w:rPr>
          <w:szCs w:val="28"/>
        </w:rPr>
      </w:pPr>
      <w:r>
        <w:rPr>
          <w:szCs w:val="28"/>
          <w:vertAlign w:val="superscript"/>
        </w:rPr>
        <w:t>1</w:t>
      </w:r>
      <w:r w:rsidR="006953B8">
        <w:rPr>
          <w:szCs w:val="28"/>
          <w:vertAlign w:val="superscript"/>
        </w:rPr>
        <w:t>7</w:t>
      </w:r>
      <w:r>
        <w:rPr>
          <w:szCs w:val="28"/>
        </w:rPr>
        <w:t>Department of Political Science, University of Oslo</w:t>
      </w:r>
      <w:r w:rsidR="00F56AC3">
        <w:rPr>
          <w:szCs w:val="28"/>
        </w:rPr>
        <w:t xml:space="preserve">, Oslo, </w:t>
      </w:r>
      <w:proofErr w:type="spellStart"/>
      <w:r w:rsidR="00F56AC3">
        <w:rPr>
          <w:szCs w:val="28"/>
        </w:rPr>
        <w:t>Østlandet</w:t>
      </w:r>
      <w:proofErr w:type="spellEnd"/>
      <w:r w:rsidR="00F56AC3">
        <w:rPr>
          <w:szCs w:val="28"/>
        </w:rPr>
        <w:t>, 0317, Norway</w:t>
      </w:r>
    </w:p>
    <w:p w14:paraId="74AFDDDB" w14:textId="57572671" w:rsidR="00644FDF" w:rsidRPr="001A5DAF" w:rsidRDefault="006953B8">
      <w:pPr>
        <w:rPr>
          <w:color w:val="000000" w:themeColor="text1"/>
          <w:szCs w:val="28"/>
          <w:lang w:val="de-DE"/>
        </w:rPr>
      </w:pPr>
      <w:r w:rsidRPr="001A5DAF">
        <w:rPr>
          <w:color w:val="000000" w:themeColor="text1"/>
          <w:szCs w:val="28"/>
          <w:vertAlign w:val="superscript"/>
          <w:lang w:val="de-DE"/>
        </w:rPr>
        <w:t>18</w:t>
      </w:r>
      <w:r w:rsidR="00C732FA" w:rsidRPr="001A5DAF">
        <w:rPr>
          <w:color w:val="000000" w:themeColor="text1"/>
          <w:szCs w:val="28"/>
          <w:lang w:val="de-DE"/>
        </w:rPr>
        <w:t xml:space="preserve">Schweizerisches Epilepsie Zentrum; Klinik </w:t>
      </w:r>
      <w:proofErr w:type="spellStart"/>
      <w:r w:rsidR="00C732FA" w:rsidRPr="001A5DAF">
        <w:rPr>
          <w:color w:val="000000" w:themeColor="text1"/>
          <w:szCs w:val="28"/>
          <w:lang w:val="de-DE"/>
        </w:rPr>
        <w:t>Lengg</w:t>
      </w:r>
      <w:proofErr w:type="spellEnd"/>
      <w:r w:rsidR="00C732FA" w:rsidRPr="001A5DAF">
        <w:rPr>
          <w:color w:val="000000" w:themeColor="text1"/>
          <w:szCs w:val="28"/>
          <w:lang w:val="de-DE"/>
        </w:rPr>
        <w:t>, Z</w:t>
      </w:r>
      <w:r w:rsidR="00F56AC3" w:rsidRPr="001A5DAF">
        <w:rPr>
          <w:color w:val="000000" w:themeColor="text1"/>
          <w:szCs w:val="28"/>
          <w:lang w:val="de-DE"/>
        </w:rPr>
        <w:t>ü</w:t>
      </w:r>
      <w:r w:rsidR="00C732FA" w:rsidRPr="001A5DAF">
        <w:rPr>
          <w:color w:val="000000" w:themeColor="text1"/>
          <w:szCs w:val="28"/>
          <w:lang w:val="de-DE"/>
        </w:rPr>
        <w:t>rich,</w:t>
      </w:r>
      <w:r w:rsidR="00F56AC3" w:rsidRPr="001A5DAF">
        <w:rPr>
          <w:color w:val="000000" w:themeColor="text1"/>
          <w:szCs w:val="28"/>
          <w:lang w:val="de-DE"/>
        </w:rPr>
        <w:t xml:space="preserve"> 8008,</w:t>
      </w:r>
      <w:r w:rsidR="00C732FA" w:rsidRPr="001A5DAF">
        <w:rPr>
          <w:color w:val="000000" w:themeColor="text1"/>
          <w:szCs w:val="28"/>
          <w:lang w:val="de-DE"/>
        </w:rPr>
        <w:t xml:space="preserve"> </w:t>
      </w:r>
      <w:proofErr w:type="spellStart"/>
      <w:r w:rsidR="00C732FA" w:rsidRPr="001A5DAF">
        <w:rPr>
          <w:color w:val="000000" w:themeColor="text1"/>
          <w:szCs w:val="28"/>
          <w:lang w:val="de-DE"/>
        </w:rPr>
        <w:t>Switzerland</w:t>
      </w:r>
      <w:proofErr w:type="spellEnd"/>
      <w:r w:rsidR="00C732FA" w:rsidRPr="001A5DAF">
        <w:rPr>
          <w:color w:val="000000" w:themeColor="text1"/>
          <w:szCs w:val="28"/>
          <w:lang w:val="de-DE"/>
        </w:rPr>
        <w:t>.</w:t>
      </w:r>
    </w:p>
    <w:p w14:paraId="3FFC47D5" w14:textId="1B44A92B" w:rsidR="006953B8" w:rsidRPr="006953B8" w:rsidRDefault="006953B8" w:rsidP="006953B8">
      <w:pPr>
        <w:rPr>
          <w:szCs w:val="28"/>
          <w:lang w:val="en-NO"/>
        </w:rPr>
      </w:pPr>
      <w:r w:rsidRPr="001A5DAF">
        <w:rPr>
          <w:color w:val="000000" w:themeColor="text1"/>
          <w:szCs w:val="28"/>
          <w:vertAlign w:val="superscript"/>
          <w:lang w:val="en-GB"/>
        </w:rPr>
        <w:t>19</w:t>
      </w:r>
      <w:r w:rsidRPr="00992EDD">
        <w:rPr>
          <w:color w:val="000000" w:themeColor="text1"/>
          <w:szCs w:val="28"/>
          <w:lang w:val="en-GB"/>
        </w:rPr>
        <w:t>Geophysical Institute</w:t>
      </w:r>
      <w:r w:rsidRPr="00992EDD">
        <w:rPr>
          <w:szCs w:val="28"/>
          <w:lang w:val="en-GB"/>
        </w:rPr>
        <w:t xml:space="preserve">, University of Bergen, Bergen, </w:t>
      </w:r>
      <w:proofErr w:type="spellStart"/>
      <w:r w:rsidRPr="00992EDD">
        <w:rPr>
          <w:szCs w:val="28"/>
          <w:lang w:val="en-GB"/>
        </w:rPr>
        <w:t>Vestland</w:t>
      </w:r>
      <w:proofErr w:type="spellEnd"/>
      <w:r w:rsidRPr="00992EDD">
        <w:rPr>
          <w:szCs w:val="28"/>
          <w:lang w:val="en-GB"/>
        </w:rPr>
        <w:t>, 5007, Norway</w:t>
      </w:r>
    </w:p>
    <w:p w14:paraId="2ABE322A" w14:textId="77777777" w:rsidR="006953B8" w:rsidRPr="001A5DAF" w:rsidRDefault="006953B8">
      <w:pPr>
        <w:rPr>
          <w:szCs w:val="28"/>
          <w:lang w:val="de-DE"/>
        </w:rPr>
      </w:pPr>
    </w:p>
    <w:p w14:paraId="29380A4B" w14:textId="7D82E13E" w:rsidR="00992EDD" w:rsidRDefault="00C732FA">
      <w:pPr>
        <w:rPr>
          <w:szCs w:val="28"/>
        </w:rPr>
      </w:pPr>
      <w:r>
        <w:rPr>
          <w:szCs w:val="28"/>
          <w:vertAlign w:val="superscript"/>
        </w:rPr>
        <w:lastRenderedPageBreak/>
        <w:t>2</w:t>
      </w:r>
      <w:r w:rsidR="006953B8">
        <w:rPr>
          <w:szCs w:val="28"/>
          <w:vertAlign w:val="superscript"/>
        </w:rPr>
        <w:t>0</w:t>
      </w:r>
      <w:r w:rsidR="00992EDD" w:rsidRPr="00992EDD">
        <w:rPr>
          <w:szCs w:val="28"/>
        </w:rPr>
        <w:t>Department of Integrative Biology, University of Guelph</w:t>
      </w:r>
      <w:r w:rsidR="00F56AC3">
        <w:rPr>
          <w:szCs w:val="28"/>
        </w:rPr>
        <w:t>, Guelph, Ontario, N1G 2W1, Canada</w:t>
      </w:r>
    </w:p>
    <w:p w14:paraId="1F5499B0" w14:textId="5ACAEC2B" w:rsidR="00644FDF" w:rsidRDefault="00C732FA">
      <w:pPr>
        <w:rPr>
          <w:szCs w:val="28"/>
        </w:rPr>
      </w:pPr>
      <w:r>
        <w:rPr>
          <w:szCs w:val="28"/>
          <w:vertAlign w:val="superscript"/>
        </w:rPr>
        <w:t>21</w:t>
      </w:r>
      <w:r>
        <w:rPr>
          <w:szCs w:val="28"/>
        </w:rPr>
        <w:t>Department of Natural History, Norwegian University of Science and Technology</w:t>
      </w:r>
      <w:r w:rsidR="00F56AC3">
        <w:rPr>
          <w:szCs w:val="28"/>
        </w:rPr>
        <w:t xml:space="preserve">, Trondheim, </w:t>
      </w:r>
      <w:proofErr w:type="spellStart"/>
      <w:r w:rsidR="00F56AC3">
        <w:rPr>
          <w:szCs w:val="28"/>
        </w:rPr>
        <w:t>Trøndelag</w:t>
      </w:r>
      <w:proofErr w:type="spellEnd"/>
      <w:r w:rsidR="00F56AC3">
        <w:rPr>
          <w:szCs w:val="28"/>
        </w:rPr>
        <w:t>, 7491, Norway</w:t>
      </w:r>
    </w:p>
    <w:p w14:paraId="76E47E87" w14:textId="1B47A0B2" w:rsidR="00F56AC3" w:rsidRDefault="00C732FA" w:rsidP="00D05E36">
      <w:pPr>
        <w:rPr>
          <w:szCs w:val="28"/>
        </w:rPr>
      </w:pPr>
      <w:r>
        <w:rPr>
          <w:szCs w:val="28"/>
          <w:vertAlign w:val="superscript"/>
        </w:rPr>
        <w:t>22</w:t>
      </w:r>
      <w:r>
        <w:rPr>
          <w:szCs w:val="28"/>
        </w:rPr>
        <w:t xml:space="preserve">Nuffield Department of Primary Care Health Sciences, </w:t>
      </w:r>
      <w:r w:rsidR="00F56AC3" w:rsidRPr="00D05E36">
        <w:rPr>
          <w:szCs w:val="28"/>
        </w:rPr>
        <w:t xml:space="preserve">University </w:t>
      </w:r>
      <w:r w:rsidR="00BD64A0">
        <w:rPr>
          <w:szCs w:val="28"/>
        </w:rPr>
        <w:t>o</w:t>
      </w:r>
      <w:r w:rsidR="00F56AC3" w:rsidRPr="00D05E36">
        <w:rPr>
          <w:szCs w:val="28"/>
        </w:rPr>
        <w:t>f Oxford</w:t>
      </w:r>
      <w:r w:rsidR="00F56AC3">
        <w:rPr>
          <w:szCs w:val="28"/>
        </w:rPr>
        <w:t xml:space="preserve">, </w:t>
      </w:r>
      <w:r w:rsidR="00F56AC3" w:rsidRPr="00D05E36">
        <w:rPr>
          <w:szCs w:val="28"/>
        </w:rPr>
        <w:t xml:space="preserve">Oxford, </w:t>
      </w:r>
      <w:proofErr w:type="spellStart"/>
      <w:r w:rsidR="00F56AC3" w:rsidRPr="00D05E36">
        <w:rPr>
          <w:szCs w:val="28"/>
        </w:rPr>
        <w:t>Oxfordshire</w:t>
      </w:r>
      <w:proofErr w:type="spellEnd"/>
      <w:r w:rsidR="00F56AC3" w:rsidRPr="00D05E36">
        <w:rPr>
          <w:szCs w:val="28"/>
        </w:rPr>
        <w:t>, OX2 6GG, United Kingdom.</w:t>
      </w:r>
    </w:p>
    <w:p w14:paraId="0C6601F1" w14:textId="5B6BA0B0" w:rsidR="00D05E36" w:rsidRDefault="00AC1892" w:rsidP="00D05E36">
      <w:pPr>
        <w:rPr>
          <w:szCs w:val="28"/>
        </w:rPr>
      </w:pPr>
      <w:r>
        <w:rPr>
          <w:szCs w:val="28"/>
          <w:vertAlign w:val="superscript"/>
        </w:rPr>
        <w:t>23</w:t>
      </w:r>
      <w:r w:rsidR="00D05E36" w:rsidRPr="00D05E36">
        <w:rPr>
          <w:szCs w:val="28"/>
        </w:rPr>
        <w:t xml:space="preserve">Oxford Institute for Digital Health, Nuffield Department of Primary Care Health Sciences, University </w:t>
      </w:r>
      <w:proofErr w:type="gramStart"/>
      <w:r w:rsidR="00D05E36" w:rsidRPr="00D05E36">
        <w:rPr>
          <w:szCs w:val="28"/>
        </w:rPr>
        <w:t>Of</w:t>
      </w:r>
      <w:proofErr w:type="gramEnd"/>
      <w:r w:rsidR="00D05E36" w:rsidRPr="00D05E36">
        <w:rPr>
          <w:szCs w:val="28"/>
        </w:rPr>
        <w:t xml:space="preserve"> Oxford</w:t>
      </w:r>
      <w:r w:rsidR="00D05E36">
        <w:rPr>
          <w:szCs w:val="28"/>
        </w:rPr>
        <w:t xml:space="preserve">, </w:t>
      </w:r>
      <w:r w:rsidR="00D05E36" w:rsidRPr="00D05E36">
        <w:rPr>
          <w:szCs w:val="28"/>
        </w:rPr>
        <w:t xml:space="preserve">Oxford, </w:t>
      </w:r>
      <w:proofErr w:type="spellStart"/>
      <w:r w:rsidR="00D05E36" w:rsidRPr="00D05E36">
        <w:rPr>
          <w:szCs w:val="28"/>
        </w:rPr>
        <w:t>Oxfordshire</w:t>
      </w:r>
      <w:proofErr w:type="spellEnd"/>
      <w:r w:rsidR="00D05E36" w:rsidRPr="00D05E36">
        <w:rPr>
          <w:szCs w:val="28"/>
        </w:rPr>
        <w:t>, OX2 6GG, United Kingdom.</w:t>
      </w:r>
    </w:p>
    <w:p w14:paraId="7F9221DA" w14:textId="091AA0FD" w:rsidR="00644FDF" w:rsidRDefault="00C732FA">
      <w:pPr>
        <w:rPr>
          <w:szCs w:val="28"/>
        </w:rPr>
      </w:pPr>
      <w:r>
        <w:rPr>
          <w:szCs w:val="28"/>
          <w:vertAlign w:val="superscript"/>
        </w:rPr>
        <w:t>2</w:t>
      </w:r>
      <w:r w:rsidR="00AC1892">
        <w:rPr>
          <w:szCs w:val="28"/>
          <w:vertAlign w:val="superscript"/>
        </w:rPr>
        <w:t>4</w:t>
      </w:r>
      <w:r>
        <w:rPr>
          <w:szCs w:val="28"/>
        </w:rPr>
        <w:t>Department of Public Health and Nursing, Norwegian University of Science and Technology, Trondheim, Trøndelag, 7030, Norway.</w:t>
      </w:r>
    </w:p>
    <w:p w14:paraId="242996CB" w14:textId="551003EF" w:rsidR="00644FDF" w:rsidRDefault="00C732FA">
      <w:pPr>
        <w:rPr>
          <w:szCs w:val="28"/>
        </w:rPr>
      </w:pPr>
      <w:r>
        <w:rPr>
          <w:szCs w:val="28"/>
          <w:vertAlign w:val="superscript"/>
        </w:rPr>
        <w:t>2</w:t>
      </w:r>
      <w:r w:rsidR="00AC1892">
        <w:rPr>
          <w:szCs w:val="28"/>
          <w:vertAlign w:val="superscript"/>
        </w:rPr>
        <w:t>5</w:t>
      </w:r>
      <w:r>
        <w:rPr>
          <w:szCs w:val="28"/>
        </w:rPr>
        <w:t xml:space="preserve">Clinical Research Unit Central Norway, St Olavs University Hospital, Trondheim, </w:t>
      </w:r>
      <w:proofErr w:type="spellStart"/>
      <w:r>
        <w:rPr>
          <w:szCs w:val="28"/>
        </w:rPr>
        <w:t>Trøndelag</w:t>
      </w:r>
      <w:proofErr w:type="spellEnd"/>
      <w:r>
        <w:rPr>
          <w:szCs w:val="28"/>
        </w:rPr>
        <w:t>, 7030, Norway.</w:t>
      </w:r>
    </w:p>
    <w:p w14:paraId="6273CD33" w14:textId="7D2EB07F" w:rsidR="00543796" w:rsidRDefault="00543796">
      <w:pPr>
        <w:rPr>
          <w:szCs w:val="28"/>
        </w:rPr>
      </w:pPr>
      <w:r w:rsidRPr="00543796">
        <w:rPr>
          <w:szCs w:val="28"/>
          <w:vertAlign w:val="superscript"/>
        </w:rPr>
        <w:t>26</w:t>
      </w:r>
      <w:r w:rsidRPr="00543796">
        <w:rPr>
          <w:szCs w:val="28"/>
        </w:rPr>
        <w:t xml:space="preserve">Norwegian </w:t>
      </w:r>
      <w:proofErr w:type="spellStart"/>
      <w:r w:rsidRPr="00543796">
        <w:rPr>
          <w:szCs w:val="28"/>
        </w:rPr>
        <w:t>Labour</w:t>
      </w:r>
      <w:proofErr w:type="spellEnd"/>
      <w:r w:rsidRPr="00543796">
        <w:rPr>
          <w:szCs w:val="28"/>
        </w:rPr>
        <w:t xml:space="preserve"> Inspectorate Authority</w:t>
      </w:r>
      <w:r w:rsidR="00C47FE3">
        <w:rPr>
          <w:szCs w:val="28"/>
        </w:rPr>
        <w:t xml:space="preserve">, Trondheim, </w:t>
      </w:r>
      <w:proofErr w:type="spellStart"/>
      <w:r w:rsidR="00C47FE3">
        <w:rPr>
          <w:szCs w:val="28"/>
        </w:rPr>
        <w:t>Trøndelag</w:t>
      </w:r>
      <w:proofErr w:type="spellEnd"/>
      <w:r w:rsidR="00C47FE3">
        <w:rPr>
          <w:szCs w:val="28"/>
        </w:rPr>
        <w:t>, 7012, Norway</w:t>
      </w:r>
    </w:p>
    <w:p w14:paraId="6A8AA11E" w14:textId="77777777" w:rsidR="00644FDF" w:rsidRPr="00C732FA" w:rsidRDefault="00644FDF">
      <w:pPr>
        <w:rPr>
          <w:szCs w:val="28"/>
        </w:rPr>
      </w:pPr>
    </w:p>
    <w:p w14:paraId="6353DEA7" w14:textId="77777777" w:rsidR="00644FDF" w:rsidRDefault="00C732FA">
      <w:pPr>
        <w:rPr>
          <w:szCs w:val="28"/>
        </w:rPr>
      </w:pPr>
      <w:r>
        <w:rPr>
          <w:szCs w:val="28"/>
        </w:rPr>
        <w:t xml:space="preserve">*Corresponding author. </w:t>
      </w:r>
    </w:p>
    <w:p w14:paraId="239195F2" w14:textId="77777777" w:rsidR="00644FDF" w:rsidRDefault="00644FDF">
      <w:pPr>
        <w:rPr>
          <w:szCs w:val="28"/>
        </w:rPr>
      </w:pPr>
    </w:p>
    <w:p w14:paraId="23322042" w14:textId="77777777" w:rsidR="00644FDF" w:rsidRDefault="00C732FA">
      <w:pPr>
        <w:rPr>
          <w:rStyle w:val="Hyperlink"/>
          <w:szCs w:val="28"/>
        </w:rPr>
      </w:pPr>
      <w:r>
        <w:rPr>
          <w:szCs w:val="28"/>
        </w:rPr>
        <w:t xml:space="preserve">Correspondence: </w:t>
      </w:r>
      <w:hyperlink r:id="rId8" w:history="1">
        <w:r>
          <w:rPr>
            <w:rStyle w:val="Hyperlink"/>
            <w:szCs w:val="28"/>
          </w:rPr>
          <w:t>emilygsimmonds@gmail.com</w:t>
        </w:r>
      </w:hyperlink>
    </w:p>
    <w:p w14:paraId="550C586B" w14:textId="77777777" w:rsidR="00644FDF" w:rsidRDefault="00644FDF">
      <w:pPr>
        <w:rPr>
          <w:rStyle w:val="Hyperlink"/>
          <w:color w:val="000000" w:themeColor="text1"/>
          <w:szCs w:val="28"/>
          <w:u w:val="none"/>
        </w:rPr>
      </w:pPr>
    </w:p>
    <w:p w14:paraId="55A8F5E8" w14:textId="77777777" w:rsidR="00644FDF" w:rsidRDefault="00644FDF">
      <w:pPr>
        <w:rPr>
          <w:color w:val="000000" w:themeColor="text1"/>
          <w:szCs w:val="28"/>
        </w:rPr>
      </w:pPr>
    </w:p>
    <w:p w14:paraId="4DEEBAD8" w14:textId="77777777" w:rsidR="00644FDF" w:rsidRDefault="00C732FA">
      <w:pPr>
        <w:rPr>
          <w:rStyle w:val="Hyperlink"/>
          <w:color w:val="000000" w:themeColor="text1"/>
          <w:szCs w:val="28"/>
          <w:u w:val="none"/>
        </w:rPr>
      </w:pPr>
      <w:r>
        <w:rPr>
          <w:rStyle w:val="Hyperlink"/>
          <w:color w:val="000000" w:themeColor="text1"/>
          <w:szCs w:val="28"/>
          <w:u w:val="none"/>
        </w:rPr>
        <w:t xml:space="preserve"> </w:t>
      </w:r>
    </w:p>
    <w:p w14:paraId="5A82CA15" w14:textId="77777777" w:rsidR="00644FDF" w:rsidRDefault="00644FDF">
      <w:pPr>
        <w:rPr>
          <w:rStyle w:val="Hyperlink"/>
          <w:color w:val="000000" w:themeColor="text1"/>
          <w:szCs w:val="28"/>
          <w:u w:val="none"/>
        </w:rPr>
      </w:pPr>
    </w:p>
    <w:p w14:paraId="668F6AC2" w14:textId="77777777" w:rsidR="00644FDF" w:rsidRDefault="00644FDF">
      <w:pPr>
        <w:rPr>
          <w:rStyle w:val="Hyperlink"/>
          <w:color w:val="000000" w:themeColor="text1"/>
          <w:szCs w:val="28"/>
          <w:u w:val="none"/>
        </w:rPr>
      </w:pPr>
    </w:p>
    <w:p w14:paraId="26FF7A3B" w14:textId="77777777" w:rsidR="00644FDF" w:rsidRDefault="00644FDF">
      <w:pPr>
        <w:rPr>
          <w:rStyle w:val="Hyperlink"/>
          <w:color w:val="000000" w:themeColor="text1"/>
          <w:szCs w:val="28"/>
          <w:u w:val="none"/>
        </w:rPr>
      </w:pPr>
    </w:p>
    <w:p w14:paraId="3200F689" w14:textId="77777777" w:rsidR="00644FDF" w:rsidRDefault="00644FDF">
      <w:pPr>
        <w:rPr>
          <w:rStyle w:val="Hyperlink"/>
          <w:color w:val="000000" w:themeColor="text1"/>
          <w:szCs w:val="28"/>
          <w:u w:val="none"/>
        </w:rPr>
      </w:pPr>
    </w:p>
    <w:p w14:paraId="69FEBC16" w14:textId="77777777" w:rsidR="00644FDF" w:rsidRDefault="00644FDF">
      <w:pPr>
        <w:rPr>
          <w:rStyle w:val="Hyperlink"/>
          <w:color w:val="000000" w:themeColor="text1"/>
          <w:szCs w:val="28"/>
          <w:u w:val="none"/>
        </w:rPr>
      </w:pPr>
    </w:p>
    <w:p w14:paraId="6C827B6B" w14:textId="77777777" w:rsidR="00644FDF" w:rsidRDefault="00644FDF">
      <w:pPr>
        <w:rPr>
          <w:rStyle w:val="Hyperlink"/>
          <w:color w:val="000000" w:themeColor="text1"/>
          <w:szCs w:val="28"/>
          <w:u w:val="none"/>
        </w:rPr>
      </w:pPr>
    </w:p>
    <w:p w14:paraId="64C5B97F" w14:textId="77777777" w:rsidR="00644FDF" w:rsidRDefault="00644FDF">
      <w:pPr>
        <w:rPr>
          <w:rStyle w:val="Hyperlink"/>
          <w:color w:val="000000" w:themeColor="text1"/>
          <w:szCs w:val="28"/>
          <w:u w:val="none"/>
        </w:rPr>
      </w:pPr>
    </w:p>
    <w:p w14:paraId="106A2045" w14:textId="77777777" w:rsidR="00644FDF" w:rsidRDefault="00644FDF">
      <w:pPr>
        <w:rPr>
          <w:rStyle w:val="Hyperlink"/>
          <w:color w:val="000000" w:themeColor="text1"/>
          <w:szCs w:val="28"/>
          <w:u w:val="none"/>
        </w:rPr>
      </w:pPr>
    </w:p>
    <w:p w14:paraId="5264B674" w14:textId="77777777" w:rsidR="00644FDF" w:rsidRDefault="00644FDF">
      <w:pPr>
        <w:rPr>
          <w:rStyle w:val="Hyperlink"/>
          <w:color w:val="000000" w:themeColor="text1"/>
          <w:szCs w:val="28"/>
          <w:u w:val="none"/>
        </w:rPr>
      </w:pPr>
    </w:p>
    <w:p w14:paraId="7CB8739A" w14:textId="77777777" w:rsidR="00644FDF" w:rsidRDefault="00644FDF">
      <w:pPr>
        <w:rPr>
          <w:rStyle w:val="Hyperlink"/>
          <w:color w:val="000000" w:themeColor="text1"/>
          <w:szCs w:val="28"/>
          <w:u w:val="none"/>
        </w:rPr>
      </w:pPr>
    </w:p>
    <w:p w14:paraId="4B37D7A0" w14:textId="77777777" w:rsidR="00644FDF" w:rsidRDefault="00644FDF">
      <w:pPr>
        <w:rPr>
          <w:rStyle w:val="Hyperlink"/>
          <w:color w:val="000000" w:themeColor="text1"/>
          <w:szCs w:val="28"/>
          <w:u w:val="none"/>
        </w:rPr>
      </w:pPr>
    </w:p>
    <w:p w14:paraId="3857F88E" w14:textId="77777777" w:rsidR="00644FDF" w:rsidRDefault="00644FDF">
      <w:pPr>
        <w:rPr>
          <w:rStyle w:val="Hyperlink"/>
          <w:color w:val="000000" w:themeColor="text1"/>
          <w:szCs w:val="28"/>
          <w:u w:val="none"/>
        </w:rPr>
      </w:pPr>
    </w:p>
    <w:p w14:paraId="21E73ADA" w14:textId="77777777" w:rsidR="00644FDF" w:rsidRDefault="00644FDF">
      <w:pPr>
        <w:rPr>
          <w:rStyle w:val="Hyperlink"/>
          <w:color w:val="000000" w:themeColor="text1"/>
          <w:szCs w:val="28"/>
          <w:u w:val="none"/>
        </w:rPr>
      </w:pPr>
    </w:p>
    <w:p w14:paraId="3EC979D0" w14:textId="77777777" w:rsidR="00644FDF" w:rsidRDefault="00644FDF">
      <w:pPr>
        <w:rPr>
          <w:rStyle w:val="Hyperlink"/>
          <w:color w:val="000000" w:themeColor="text1"/>
          <w:szCs w:val="28"/>
          <w:u w:val="none"/>
        </w:rPr>
      </w:pPr>
    </w:p>
    <w:p w14:paraId="5252F861" w14:textId="77777777" w:rsidR="00644FDF" w:rsidRDefault="00644FDF">
      <w:pPr>
        <w:rPr>
          <w:rStyle w:val="Hyperlink"/>
          <w:color w:val="000000" w:themeColor="text1"/>
          <w:szCs w:val="28"/>
          <w:u w:val="none"/>
        </w:rPr>
      </w:pPr>
    </w:p>
    <w:p w14:paraId="540F7695" w14:textId="77777777" w:rsidR="00644FDF" w:rsidRDefault="00644FDF">
      <w:pPr>
        <w:rPr>
          <w:rStyle w:val="Hyperlink"/>
          <w:color w:val="000000" w:themeColor="text1"/>
          <w:szCs w:val="28"/>
          <w:u w:val="none"/>
        </w:rPr>
      </w:pPr>
    </w:p>
    <w:p w14:paraId="704507B2" w14:textId="77777777" w:rsidR="00644FDF" w:rsidRDefault="00644FDF">
      <w:pPr>
        <w:rPr>
          <w:rStyle w:val="Hyperlink"/>
          <w:color w:val="000000" w:themeColor="text1"/>
          <w:szCs w:val="28"/>
          <w:u w:val="none"/>
        </w:rPr>
      </w:pPr>
    </w:p>
    <w:p w14:paraId="23452224" w14:textId="77777777" w:rsidR="00644FDF" w:rsidRDefault="00644FDF">
      <w:pPr>
        <w:rPr>
          <w:rStyle w:val="Hyperlink"/>
          <w:color w:val="000000" w:themeColor="text1"/>
          <w:szCs w:val="28"/>
          <w:u w:val="none"/>
        </w:rPr>
      </w:pPr>
    </w:p>
    <w:p w14:paraId="2E3B76E7" w14:textId="77777777" w:rsidR="00644FDF" w:rsidRDefault="00644FDF">
      <w:pPr>
        <w:rPr>
          <w:rStyle w:val="Hyperlink"/>
          <w:color w:val="000000" w:themeColor="text1"/>
          <w:szCs w:val="28"/>
          <w:u w:val="none"/>
        </w:rPr>
      </w:pPr>
    </w:p>
    <w:p w14:paraId="3A4D3BC2" w14:textId="77777777" w:rsidR="00644FDF" w:rsidRDefault="00644FDF">
      <w:pPr>
        <w:rPr>
          <w:rStyle w:val="Hyperlink"/>
          <w:color w:val="000000" w:themeColor="text1"/>
          <w:szCs w:val="28"/>
          <w:u w:val="none"/>
        </w:rPr>
      </w:pPr>
    </w:p>
    <w:p w14:paraId="3FFA5206" w14:textId="77777777" w:rsidR="00644FDF" w:rsidRDefault="00644FDF">
      <w:pPr>
        <w:rPr>
          <w:rStyle w:val="Hyperlink"/>
          <w:color w:val="000000" w:themeColor="text1"/>
          <w:szCs w:val="28"/>
          <w:u w:val="none"/>
        </w:rPr>
      </w:pPr>
    </w:p>
    <w:p w14:paraId="01299423" w14:textId="77777777" w:rsidR="00644FDF" w:rsidRDefault="00644FDF">
      <w:pPr>
        <w:rPr>
          <w:rStyle w:val="Hyperlink"/>
          <w:color w:val="000000" w:themeColor="text1"/>
          <w:szCs w:val="28"/>
          <w:u w:val="none"/>
        </w:rPr>
      </w:pPr>
    </w:p>
    <w:p w14:paraId="3324C208" w14:textId="77777777" w:rsidR="00644FDF" w:rsidRDefault="00644FDF">
      <w:pPr>
        <w:rPr>
          <w:rStyle w:val="Hyperlink"/>
          <w:color w:val="000000" w:themeColor="text1"/>
          <w:szCs w:val="28"/>
          <w:u w:val="none"/>
        </w:rPr>
      </w:pPr>
    </w:p>
    <w:p w14:paraId="2434730B" w14:textId="77777777" w:rsidR="00644FDF" w:rsidRDefault="00644FDF">
      <w:pPr>
        <w:rPr>
          <w:rStyle w:val="Hyperlink"/>
          <w:color w:val="000000" w:themeColor="text1"/>
          <w:szCs w:val="28"/>
          <w:u w:val="none"/>
        </w:rPr>
      </w:pPr>
    </w:p>
    <w:p w14:paraId="0B2E2C94" w14:textId="77777777" w:rsidR="00644FDF" w:rsidRDefault="00644FDF">
      <w:pPr>
        <w:rPr>
          <w:rStyle w:val="Hyperlink"/>
          <w:color w:val="000000" w:themeColor="text1"/>
          <w:szCs w:val="28"/>
          <w:u w:val="none"/>
        </w:rPr>
      </w:pPr>
    </w:p>
    <w:p w14:paraId="0570CEBF" w14:textId="0AA7DE84" w:rsidR="00644FDF" w:rsidRDefault="00644FDF">
      <w:pPr>
        <w:rPr>
          <w:rStyle w:val="Hyperlink"/>
          <w:color w:val="000000" w:themeColor="text1"/>
          <w:szCs w:val="28"/>
          <w:u w:val="none"/>
        </w:rPr>
      </w:pPr>
    </w:p>
    <w:p w14:paraId="65101A02" w14:textId="77777777" w:rsidR="001A5DAF" w:rsidRDefault="001A5DAF">
      <w:pPr>
        <w:rPr>
          <w:rStyle w:val="Hyperlink"/>
          <w:color w:val="000000" w:themeColor="text1"/>
          <w:szCs w:val="28"/>
          <w:u w:val="none"/>
        </w:rPr>
      </w:pPr>
    </w:p>
    <w:p w14:paraId="53B82E38" w14:textId="77777777" w:rsidR="00644FDF" w:rsidRDefault="00644FDF">
      <w:pPr>
        <w:rPr>
          <w:rStyle w:val="Hyperlink"/>
          <w:color w:val="000000" w:themeColor="text1"/>
          <w:szCs w:val="28"/>
          <w:u w:val="none"/>
        </w:rPr>
      </w:pPr>
    </w:p>
    <w:p w14:paraId="72D84507" w14:textId="77777777" w:rsidR="00644FDF" w:rsidRDefault="00644FDF">
      <w:pPr>
        <w:rPr>
          <w:rStyle w:val="Hyperlink"/>
          <w:color w:val="000000" w:themeColor="text1"/>
          <w:szCs w:val="28"/>
          <w:u w:val="none"/>
        </w:rPr>
      </w:pPr>
    </w:p>
    <w:p w14:paraId="688889B3" w14:textId="77777777" w:rsidR="00644FDF" w:rsidRDefault="00C732FA">
      <w:pPr>
        <w:rPr>
          <w:b/>
          <w:sz w:val="28"/>
          <w:szCs w:val="28"/>
          <w:lang w:val="en-GB"/>
        </w:rPr>
      </w:pPr>
      <w:r>
        <w:rPr>
          <w:b/>
          <w:sz w:val="28"/>
          <w:szCs w:val="28"/>
          <w:lang w:val="en-GB"/>
        </w:rPr>
        <w:lastRenderedPageBreak/>
        <w:t>Summary:</w:t>
      </w:r>
    </w:p>
    <w:p w14:paraId="59178DAA" w14:textId="77777777" w:rsidR="00644FDF" w:rsidRDefault="00644FDF">
      <w:pPr>
        <w:rPr>
          <w:b/>
          <w:sz w:val="28"/>
          <w:szCs w:val="28"/>
          <w:lang w:val="en-GB"/>
        </w:rPr>
      </w:pPr>
    </w:p>
    <w:p w14:paraId="77A29356" w14:textId="40FDB6F0" w:rsidR="00644FDF" w:rsidRDefault="00C732FA">
      <w:pPr>
        <w:rPr>
          <w:bCs/>
        </w:rPr>
      </w:pPr>
      <w:r>
        <w:rPr>
          <w:bCs/>
        </w:rPr>
        <w:t>Quantifying uncertainty associated with our models is the only way we can express how much we know about any phenomenon. Incomplete consideration of model-based uncertainties can lead to overstated conclusions with real world impacts in diverse spheres, including conservation, epidemiology, climate science, and policy. Despite these potentially damaging consequences, we still know little about how different fields quantify and report uncertainty. We introduce the “sources of uncertainty” framework, using it to conduct a systematic audit of model-related uncertainty quantification from seven scientific fields, spanning the biological, physical, and political sciences. Our interdisciplinary audit shows no field fully considers all possible sources of uncertainty, but each has its own best practices alongside shared outstanding challenges. We make ten easy-to-implement recommendations to improve the consistency, completeness, and clarity of reporting on model-related uncertainty. These recommendations serve as a guide to best practices across scientific fields and expand our toolbox for high-quality research.</w:t>
      </w:r>
    </w:p>
    <w:p w14:paraId="32FB4F9E" w14:textId="77777777" w:rsidR="00644FDF" w:rsidRDefault="00644FDF">
      <w:pPr>
        <w:jc w:val="both"/>
        <w:rPr>
          <w:lang w:val="en-GB"/>
        </w:rPr>
      </w:pPr>
    </w:p>
    <w:p w14:paraId="6E2A2029" w14:textId="77777777" w:rsidR="00644FDF" w:rsidRDefault="00C732FA">
      <w:pPr>
        <w:rPr>
          <w:b/>
          <w:sz w:val="28"/>
          <w:szCs w:val="28"/>
          <w:lang w:val="en-GB"/>
        </w:rPr>
      </w:pPr>
      <w:r>
        <w:rPr>
          <w:b/>
          <w:sz w:val="28"/>
          <w:szCs w:val="28"/>
          <w:lang w:val="en-GB"/>
        </w:rPr>
        <w:t>Key words:</w:t>
      </w:r>
    </w:p>
    <w:p w14:paraId="6120B4D6" w14:textId="77777777" w:rsidR="00644FDF" w:rsidRDefault="00644FDF">
      <w:pPr>
        <w:rPr>
          <w:b/>
          <w:sz w:val="28"/>
          <w:szCs w:val="28"/>
          <w:lang w:val="en-GB"/>
        </w:rPr>
      </w:pPr>
    </w:p>
    <w:p w14:paraId="3EC65DF8" w14:textId="77777777" w:rsidR="00644FDF" w:rsidRDefault="00C732FA">
      <w:pPr>
        <w:rPr>
          <w:b/>
          <w:sz w:val="28"/>
          <w:szCs w:val="28"/>
          <w:lang w:val="en-GB"/>
        </w:rPr>
      </w:pPr>
      <w:r>
        <w:rPr>
          <w:lang w:val="en-GB"/>
        </w:rPr>
        <w:t>Uncertainty, modelling, statistical, policy, interdisciplinary</w:t>
      </w:r>
    </w:p>
    <w:p w14:paraId="5B0FBFF8" w14:textId="77777777" w:rsidR="00644FDF" w:rsidRDefault="00644FDF">
      <w:pPr>
        <w:rPr>
          <w:sz w:val="24"/>
          <w:szCs w:val="24"/>
          <w:lang w:val="en-GB"/>
        </w:rPr>
      </w:pPr>
    </w:p>
    <w:p w14:paraId="064474E0" w14:textId="77777777" w:rsidR="00644FDF" w:rsidRDefault="00C732FA">
      <w:pPr>
        <w:rPr>
          <w:b/>
          <w:sz w:val="28"/>
          <w:szCs w:val="28"/>
          <w:lang w:val="en-GB"/>
        </w:rPr>
      </w:pPr>
      <w:r>
        <w:rPr>
          <w:b/>
          <w:sz w:val="28"/>
          <w:szCs w:val="28"/>
          <w:lang w:val="en-GB"/>
        </w:rPr>
        <w:t xml:space="preserve">Introduction: </w:t>
      </w:r>
    </w:p>
    <w:p w14:paraId="0B445872" w14:textId="77777777" w:rsidR="00644FDF" w:rsidRDefault="00644FDF">
      <w:pPr>
        <w:rPr>
          <w:b/>
          <w:sz w:val="24"/>
          <w:szCs w:val="24"/>
          <w:lang w:val="en-GB"/>
        </w:rPr>
      </w:pPr>
    </w:p>
    <w:p w14:paraId="5801C130" w14:textId="6849F93C" w:rsidR="00644FDF" w:rsidRDefault="00C732FA">
      <w:pPr>
        <w:rPr>
          <w:sz w:val="16"/>
          <w:szCs w:val="16"/>
          <w:lang w:val="en-GB"/>
        </w:rPr>
      </w:pPr>
      <w:r>
        <w:rPr>
          <w:lang w:val="en-GB"/>
        </w:rPr>
        <w:t>Uncertainty is a well-acknowledged, fundamental part of the scientific process</w:t>
      </w:r>
      <w:r w:rsidR="00BD4033">
        <w:rPr>
          <w:lang w:val="en-GB"/>
        </w:rPr>
        <w:t xml:space="preserve"> </w:t>
      </w:r>
      <w:r>
        <w:rPr>
          <w:lang w:val="en-GB"/>
        </w:rPr>
        <w:fldChar w:fldCharType="begin" w:fldLock="1"/>
      </w:r>
      <w:r>
        <w:rPr>
          <w:lang w:val="en-GB"/>
        </w:rPr>
        <w:instrText>ADDIN CSL_CITATION {"citationItems":[{"id":"ITEM-1","itemData":{"DOI":"10.1038/s41467-019-11865-8","ISSN":"20411723","PMID":"31455789","author":[{"dropping-particle":"","family":"Saltelli","given":"Andrea","non-dropping-particle":"","parse-names":false,"suffix":""}],"container-title":"Nature Communications","id":"ITEM-1","issued":{"date-parts":[["2019"]]},"page":"1-3","publisher":"Springer US","title":"A short comment on statistical versus mathematical modelling","type":"article-journal","volume":"10"},"uris":["http://www.mendeley.com/documents/?uuid=eca838ea-0144-421b-add2-824025fa22da"]},{"id":"ITEM-2","itemData":{"DOI":"10.1098/rsos.181870","ISBN":"0000000241151","ISSN":"20545703","abstract":"Uncertainty is an inherent part of knowledge, and yet in an era of contested expertise, many shy away from openly communicating their uncertainty about what they know, fearful of their audience's reaction. But what effect does communication of such epistemic uncertainty have? Empirical research is widely scattered across many disciplines. This interdisciplinary review structures and summarizes current practice and research across domains, combining a statistical and psychological perspective. This informs a framework for uncertainty communication in which we identify three objects of uncertainty-facts, numbers and science-and two levels of uncertainty: direct and indirect. An examination of current practices provides a scale of nine expressions of direct uncertainty. We discuss attempts to codify indirect uncertainty in terms of quality of the underlying evidence. We review the limited literature about the effects of communicating epistemic uncertainty on cognition, affect, trust and decision-making. While there is some evidence that communicating epistemic uncertainty does not necessarily affect audiences negatively, impact can vary between individuals and communication formats. Case studies in economic statistics and climate change illustrate our framework in action. We conclude with advice to guide both communicators and future researchers in this important but so far rather neglected field.","author":[{"dropping-particle":"","family":"Bles","given":"Anne Marthe","non-dropping-particle":"Van Der","parse-names":false,"suffix":""},{"dropping-particle":"","family":"Linden","given":"Sander","non-dropping-particle":"Van Der","parse-names":false,"suffix":""},{"dropping-particle":"","family":"Freeman","given":"Alexandra L.J.","non-dropping-particle":"","parse-names":false,"suffix":""},{"dropping-particle":"","family":"Mitchell","given":"James","non-dropping-particle":"","parse-names":false,"suffix":""},{"dropping-particle":"","family":"Galvao","given":"Ana B.","non-dropping-particle":"","parse-names":false,"suffix":""},{"dropping-particle":"","family":"Zaval","given":"Lisa","non-dropping-particle":"","parse-names":false,"suffix":""},{"dropping-particle":"","family":"Spiegelhalter","given":"David J.","non-dropping-particle":"","parse-names":false,"suffix":""}],"container-title":"Royal Society Open Science","id":"ITEM-2","issue":"5","issued":{"date-parts":[["2019"]]},"page":"181870","title":"Communicating uncertainty about facts, numbers and science","type":"article-journal","volume":"6"},"uris":["http://www.mendeley.com/documents/?uuid=df6f606f-8c64-4e24-8c99-e9b2e65b4fd5"]},{"id":"ITEM-3","itemData":{"DOI":"10.1098/rsta.2020.0071","ISBN":"0000000186612","ISSN":"14712962","PMID":"33775141","abstract":"Many computer models possess high-dimensional input spaces and substantial computational time to produce a single model evaluation. Although such models are often 'deterministic', these models suffer from a wide range of uncertainties. We argue that uncertainty quantification is crucial for computer model validation and reproducibility. We present a statistical framework, termed history matching, for performing global parameter search by comparing model output to the observed data. We employ Gaussian process (GP) emulators to produce fast predictions about model behaviour at the arbitrary input parameter settings allowing output uncertainty distributions to be calculated. History matching identifies sets of input parameters that give rise to acceptable matches between observed data and model output given our representation of uncertainties. Modellers could proceed by simulating computer models' outputs of interest at these identified parameter settings and producing a range of predictions. The variability in model results is crucial for inter-model comparison as well as model development. We illustrate the performance of emulation and history matching on a simple one-dimensional toy model and in application to a climate model. This article is part of the theme issue 'Reliability and reproducibility in computational science: implementing verification, validation and uncertainty quantification in silico'.","author":[{"dropping-particle":"","family":"Volodina","given":"Victoria","non-dropping-particle":"","parse-names":false,"suffix":""},{"dropping-particle":"","family":"Challenor","given":"Peter","non-dropping-particle":"","parse-names":false,"suffix":""}],"container-title":"Philosophical transactions. Series A, Mathematical, physical, and engineering sciences","id":"ITEM-3","issued":{"date-parts":[["2021"]]},"page":"20200071","title":"The importance of uncertainty quantification in model reproducibility","type":"article-journal","volume":"379"},"uris":["http://www.mendeley.com/documents/?uuid=0bddc6a4-f6bc-4a9d-824e-719d6390314c"]},{"id":"ITEM-4","itemData":{"DOI":"10.1073/pnas.1317504111","ISSN":"10916490","PMID":"25225390","abstract":"All science has uncertainty. Unless that uncertainty is communicated effectively, decision makers may put too much or too little faith in it. The information that needs to be communicated depends on the decisions that people face. Are they (i) looking for a signal (e.g., whether to evacuate before a hurricane), (ii) choosing among fixed options (e.g., which medical treatment is best), or (iii) learning to create options (e.g., how to regulate nanotechnology)? We examine these three classes of decisions in terms of how to characterize, assess, and convey the uncertainties relevant to each. We then offer a protocol for summarizing the many possible sources of uncertainty in standard terms, designed to impose a minimal burden on scientists, while gradually educating those whose decisions depend on their work. Its goals are better decisions, better science, and better support for science.","author":[{"dropping-particle":"","family":"Fischhoff","given":"Baruch","non-dropping-particle":"","parse-names":false,"suffix":""},{"dropping-particle":"","family":"Davis","given":"Alex L.","non-dropping-particle":"","parse-names":false,"suffix":""}],"container-title":"PNAS","id":"ITEM-4","issue":"4","issued":{"date-parts":[["2014"]]},"page":"13664-13671","title":"Communicating scientific uncertainty","type":"article-journal","volume":"111"},"uris":["http://www.mendeley.com/documents/?uuid=0f6c2d23-5ceb-48c0-8712-54736e404e3f"]},{"id":"ITEM-5","itemData":{"DOI":"10.1111/1365-2664.12887","ISSN":"13652664","abstract":"Applied ecologists often face uncertainty that hinders effective decision-making. Common traps that may catch the unwary are: ignoring uncertainty, acknowledging uncertainty but ploughing on, focussing on trivial uncertainties, believing your models, and unclear objectives. We integrate research insights and examples from a wide range of applied ecological fields to illustrate advances that are generally underused, but could facilitate ecologists’ ability to plan and execute research to support management. Recommended approaches to avoid uncertainty traps are: embracing models, using decision theory, using models more effectively, thinking experimentally, and being realistic about uncertainty. Synthesis and applications. Applied ecologists can become more effective at informing management by using approaches that explicitly take account of uncertainty.","author":[{"dropping-particle":"","family":"Milner-Gulland","given":"E. J.","non-dropping-particle":"","parse-names":false,"suffix":""},{"dropping-particle":"","family":"Shea","given":"Katriona","non-dropping-particle":"","parse-names":false,"suffix":""}],"container-title":"Journal of Applied Ecology","id":"ITEM-5","issue":"6","issued":{"date-parts":[["2017"]]},"page":"2063-2068","title":"Embracing uncertainty in applied ecology","type":"article-journal","volume":"54"},"uris":["http://www.mendeley.com/documents/?uuid=ed050f31-6b85-4385-8ba4-d3235a89cddf"]}],"mendeley":{"formattedCitation":"(Fischhoff and Davis, 2014; Milner-Gulland and Shea, 2017; Saltelli, 2019; Van Der Bles et al., 2019; Volodina and Challenor, 2021)","plainTextFormattedCitation":"(Fischhoff and Davis, 2014; Milner-Gulland and Shea, 2017; Saltelli, 2019; Van Der Bles et al., 2019; Volodina and Challenor, 2021)","previouslyFormattedCitation":"(Fischhoff and Davis, 2014; Milner-Gulland and Shea, 2017; Saltelli, 2019; Van Der Bles et al., 2019; Volodina and Challenor, 2021)"},"properties":{"noteIndex":0},"schema":"https://github.com/citation-style-language/schema/raw/master/csl-citation.json"}</w:instrText>
      </w:r>
      <w:r>
        <w:rPr>
          <w:lang w:val="en-GB"/>
        </w:rPr>
        <w:fldChar w:fldCharType="separate"/>
      </w:r>
      <w:r>
        <w:rPr>
          <w:bCs/>
          <w:noProof/>
          <w:color w:val="000000" w:themeColor="text1"/>
          <w:lang w:val="en-GB"/>
        </w:rPr>
        <w:t>(Fischhoff and Davis, 2014; Milner-Gulland and Shea, 2017; Saltelli, 2019; Van Der Bles et al., 2019; Volodina and Challenor, 2021)</w:t>
      </w:r>
      <w:r>
        <w:rPr>
          <w:lang w:val="en-GB"/>
        </w:rPr>
        <w:fldChar w:fldCharType="end"/>
      </w:r>
      <w:r>
        <w:rPr>
          <w:lang w:val="en-GB"/>
        </w:rPr>
        <w:t>. Uncertainty in scientific work can take myriad forms and is generated from a wide variety of sources. No universal taxonomy of uncertainty exists</w:t>
      </w:r>
      <w:r w:rsidR="00BD4033">
        <w:rPr>
          <w:lang w:val="en-GB"/>
        </w:rPr>
        <w:t xml:space="preserve"> </w:t>
      </w:r>
      <w:r>
        <w:rPr>
          <w:lang w:val="en-GB"/>
        </w:rPr>
        <w:fldChar w:fldCharType="begin" w:fldLock="1"/>
      </w:r>
      <w:r>
        <w:rPr>
          <w:lang w:val="en-GB"/>
        </w:rPr>
        <w:instrText>ADDIN CSL_CITATION {"citationItems":[{"id":"ITEM-1","itemData":{"DOI":"10.1016/j.scient.2011.04.017","ISSN":"10263098","abstract":"Uncertainty is generally defined as 'that which is not precisely known'. This definition permits the identification of different kinds of uncertainty arising from different sources and activities, most of which go unnoticed in analysis. In this paper, the evolution of uncertainty through time begins from a historical perspective and concludes with a new perspective based upon making inferences. The evolution of uncertainty, in terms of analytical progress, begins with assessing probabilities and concludes with models and methods for assessing the 'total uncertainty' within an application. Both evolutionary tracks are briefly described in the context of physical science and engineering applications; however, nothing presented precludes application to other fields, e.g. economics, social sciences, medicine and business. As we honor his 90th birthday, Zadeh's fuzzy sets and logic play a prominent role in both evolutions. Uncertainty assessment involves how to identify, classify, characterize, quantify, and combine uncertainties within an application, with the expressed goal of understanding how to manage uncertainties. Managing uncertainties is important, because uncertainties directly affect decision and policy making. Assessment and quantification of uncertainties are generally defined and outlined. Mathematical developments are not provided and in some cases are still under or in need of development. © 2011 Sharif University of Technology. Production and hosting by Elsevier B.V. All rights reserved.","author":[{"dropping-particle":"","family":"Booker","given":"J. M.","non-dropping-particle":"","parse-names":false,"suffix":""},{"dropping-particle":"","family":"Ross","given":"T. J.","non-dropping-particle":"","parse-names":false,"suffix":""}],"container-title":"Scientia Iranica","id":"ITEM-1","issue":"3 D","issued":{"date-parts":[["2011"]]},"page":"669-676","publisher":"Elsevier B.V.","title":"An evolution of uncertainty assessment and quantification","type":"article-journal","volume":"18"},"uris":["http://www.mendeley.com/documents/?uuid=5bf9ca48-c782-4b4e-af09-3a8aca6d8785","http://www.mendeley.com/documents/?uuid=d8cbc2d0-bd33-424b-bfa5-63a1cac55256"]}],"mendeley":{"formattedCitation":"(Booker and Ross, 2011)","plainTextFormattedCitation":"(Booker and Ross, 2011)","previouslyFormattedCitation":"(Booker and Ross, 2011)"},"properties":{"noteIndex":0},"schema":"https://github.com/citation-style-language/schema/raw/master/csl-citation.json"}</w:instrText>
      </w:r>
      <w:r>
        <w:rPr>
          <w:lang w:val="en-GB"/>
        </w:rPr>
        <w:fldChar w:fldCharType="separate"/>
      </w:r>
      <w:r>
        <w:rPr>
          <w:noProof/>
          <w:lang w:val="en-GB"/>
        </w:rPr>
        <w:t>(Booker and Ross, 2011)</w:t>
      </w:r>
      <w:r>
        <w:rPr>
          <w:lang w:val="en-GB"/>
        </w:rPr>
        <w:fldChar w:fldCharType="end"/>
      </w:r>
      <w:r>
        <w:rPr>
          <w:lang w:val="en-GB"/>
        </w:rPr>
        <w:t>, despite many efforts to classify and categorise the diverse sources and forms of scientific uncertainty</w:t>
      </w:r>
      <w:r w:rsidR="00BD4033">
        <w:rPr>
          <w:lang w:val="en-GB"/>
        </w:rPr>
        <w:t xml:space="preserve"> </w:t>
      </w:r>
      <w:r>
        <w:rPr>
          <w:lang w:val="en-GB"/>
        </w:rPr>
        <w:fldChar w:fldCharType="begin" w:fldLock="1"/>
      </w:r>
      <w:r>
        <w:rPr>
          <w:lang w:val="en-GB"/>
        </w:rPr>
        <w:instrText>ADDIN CSL_CITATION {"citationItems":[{"id":"ITEM-1","itemData":{"DOI":"10.1177/0272989x11393976","ISSN":"0272-989X","PMID":"22067431","abstract":"Uncertainty is a pervasive and important problem that has attracted increasing attention in health care, given the growing emphasis on evidence-based medicine, shared decision making, and patient-centered care. However, our understanding of this problem is limited, in part because of the absence of a unified, coherent concept of uncertainty. There are multiple meanings and varieties of uncertainty in health care that are not often distinguished or acknowledged although each may have unique effects or warrant different courses of action. The literature on uncertainty in health care is thus fragmented, and existing insights have been incompletely translated to clinical practice. This article addresses this problem by synthesizing diverse theoretical and empirical literature from the fields of communication, decision science, engineering, health services research, and psychology and developing a new integrative conceptual taxonomy of uncertainty. A 3-dimensional taxonomy is proposed that characterizes uncertainty in health care according to its fundamental sources, issues, and locus. It is shown how this new taxonomy facilitates an organized approach to the problem of uncertainty in health care by clarifying its nature and prognosis and suggesting appropriate strategies for its analysis and management.","author":[{"dropping-particle":"","family":"Han","given":"P. K. J.","non-dropping-particle":"","parse-names":false,"suffix":""},{"dropping-particle":"","family":"Klein","given":"W. M. P.","non-dropping-particle":"","parse-names":false,"suffix":""},{"dropping-particle":"","family":"Arora","given":"N. K.","non-dropping-particle":"","parse-names":false,"suffix":""}],"container-title":"Medical Decision Making","id":"ITEM-1","issue":"6","issued":{"date-parts":[["2011"]]},"page":"828-838","title":"Varieties of Uncertainty in Health Care: A Conceptual Taxonomy","type":"article-journal","volume":"31"},"uris":["http://www.mendeley.com/documents/?uuid=30efce0f-0bfc-44ee-a3c3-62a10a3c9145"]},{"id":"ITEM-2","itemData":{"DOI":"10.1890/1051-0761(2002)012[0618:ATATOU]2.0.CO;2","ISSN":"10510761","abstract":"Uncertainty is pervasive in ecology where the difficulties of dealing with sources of uncertainty are exacerbated by variation in the system itself. Attempts at classifying uncertainty in ecology have, for the most part, focused exclusively on epistemic uncertainty. In this paper we classify uncertainty into two main categories: epistemic uncertainty (uncertainty in determinate facts) and linguistic uncertainty (uncertainty in language). We provide a classification of sources of uncertainty under the two main categories and demonstrate how each impacts on applications in ecology and conservation biology. In particular, we demonstrate the importance of recognizing the effect of linguistic uncertainty, in addition to epistemic uncertainty, in ecological applications. The significance to ecology and conservation biology of developing a clear understanding of the various types of uncertainty, how they arise and how they might best be dealt with is highlighted. Finally, we discuss the various general strategies for dealing with each type of uncertainty and offer suggestions for treating compounding uncertainty from a range of sources.","author":[{"dropping-particle":"","family":"Regan","given":"Helen M.","non-dropping-particle":"","parse-names":false,"suffix":""},{"dropping-particle":"","family":"Colyvan","given":"Mark","non-dropping-particle":"","parse-names":false,"suffix":""},{"dropping-particle":"","family":"Burgman","given":"Mark A.","non-dropping-particle":"","parse-names":false,"suffix":""}],"container-title":"Ecological Applications","id":"ITEM-2","issue":"2","issued":{"date-parts":[["2002"]]},"page":"618-628","title":"A taxonomy and treatment of uncertainty for ecology and conservation biology","type":"article-journal","volume":"12"},"uris":["http://www.mendeley.com/documents/?uuid=3335019c-e018-44b9-a070-44e5a7ec9cc2"]},{"id":"ITEM-3","itemData":{"DOI":"10.1016/j.jhydrol.2004.11.015","ISSN":"00221694","abstract":"Although there are many sources of uncertainty it is important to recognise two basic kinds of uncertainty that are fundamentally different from each other: natural and epistemic uncertainty. Natural uncertainty stems from variability of the underlying stochastic process. Epistemic uncertainty results from incomplete knowledge about the process under study. The paper looks at the difference between these two kinds of uncertainty in flood frequency analysis. Natural uncertainty is incorporated in the distribution function of the annual maximum series from which the flood design criteria (e.g. annual failure probability, AFP) is derived. Sampling uncertainty and model uncertainty are two epistemic uncertainty sources. Sampling uncertainty is represented by probability distributions for AFP. The design criteria AFP is considered as random variable whereas the uncertainty of AFP depends on the knowledge of the analyst. It is shown how more data steepen the cumulative distribution function (cdf) of AFP, and, therefore, decrease the uncertainty about AFP. The uncertainty due to different distribution functions is incorporated by using probability bounds. They give a region within which the true but unknown distribution function is expected. The greater the uncertainty due to the distribution function type, the wider the bounds and the more difficult to make statements about frequencies of extreme events. By using a likelihood measure as indicator for the appropriateness of different distribution functions, distribution functions with low weights are eliminated. This considerably narrows the uncertainty bounds. This approach which separates between natural and epistemic uncertainty reveals the uncertainty which can be reduced by more knowledge (epistemic uncertainty) and the uncertainty which is not reducible (natural uncertainty). © 2004 Elsevier B.V. All rights reserved.","author":[{"dropping-particle":"","family":"Merz","given":"Bruno","non-dropping-particle":"","parse-names":false,"suffix":""},{"dropping-particle":"","family":"Thieken","given":"Annegret H.","non-dropping-particle":"","parse-names":false,"suffix":""}],"container-title":"Journal of Hydrology","id":"ITEM-3","issue":"1-4","issued":{"date-parts":[["2005"]]},"page":"114-132","title":"Separating natural and epistemic uncertainty in flood frequency analysis","type":"article-journal","volume":"309"},"uris":["http://www.mendeley.com/documents/?uuid=f5a034bd-f107-436e-b814-543bb7ecf5c4","http://www.mendeley.com/documents/?uuid=48a982ce-1a63-49db-87c7-b8cdca0de9d2"]},{"id":"ITEM-4","itemData":{"DOI":"10.1076/iaij.4.1.5.16466","ISSN":"1389-5176","author":[{"dropping-particle":"","family":"Walker","given":"W E","non-dropping-particle":"","parse-names":false,"suffix":""},{"dropping-particle":"","family":"Harremoës","given":"P","non-dropping-particle":"","parse-names":false,"suffix":""},{"dropping-particle":"","family":"Rotmans","given":"J","non-dropping-particle":"","parse-names":false,"suffix":""},{"dropping-particle":"","family":"Sluijs","given":"J P","non-dropping-particle":"van der","parse-names":false,"suffix":""},{"dropping-particle":"","family":"Asselt","given":"M B A","non-dropping-particle":"van","parse-names":false,"suffix":""},{"dropping-particle":"","family":"Janssen","given":"P","non-dropping-particle":"","parse-names":false,"suffix":""},{"dropping-particle":"","family":"Krayer von Krauss","given":"M P","non-dropping-particle":"","parse-names":false,"suffix":""}],"container-title":"Integrated Assessment","id":"ITEM-4","issue":"1","issued":{"date-parts":[["2003","3","1"]]},"note":"doi: 10.1076/iaij.4.1.5.16466","page":"5-17","publisher":"Taylor &amp; Francis","title":"Defining Uncertainty: A Conceptual Basis for Uncertainty Management in Model-Based Decision Support","type":"article-journal","volume":"4"},"uris":["http://www.mendeley.com/documents/?uuid=cfcbd13a-712b-405e-b5b1-6b6bed56f3fc","http://www.mendeley.com/documents/?uuid=63222b77-6236-46a0-97b9-6bbb67788ddb"]},{"id":"ITEM-5","itemData":{"DOI":"10.1016/j.envsoft.2007.02.004","ISSN":"13648152","abstract":"A terminology and typology of uncertainty is presented together with a framework for the modelling process, its interaction with the broader water management process and the role of uncertainty at different stages in the modelling processes. Brief reviews have been made of 14 different (partly complementary) methods commonly used in uncertainty assessment and characterisation: data uncertainty engine (DUE), error propagation equations, expert elicitation, extended peer review, inverse modelling (parameter estimation), inverse modelling (predictive uncertainty), Monte Carlo analysis, multiple model simulation, NUSAP, quality assurance, scenario analysis, sensitivity analysis, stakeholder involvement and uncertainty matrix. The applicability of these methods has been mapped according to purpose of application, stage of the modelling process and source and type of uncertainty addressed. It is concluded that uncertainty assessment is not just something to be added after the completion of the modelling work. Instead uncertainty should be seen as a red thread throughout the modelling study starting from the very beginning, where the identification and characterisation of all uncertainty sources should be performed jointly by the modeller, the water manager and the stakeholders. © 2007 Elsevier Ltd. All rights reserved.","author":[{"dropping-particle":"","family":"Refsgaard","given":"Jens Christian","non-dropping-particle":"","parse-names":false,"suffix":""},{"dropping-particle":"","family":"Sluijs","given":"Jeroen P.","non-dropping-particle":"van der","parse-names":false,"suffix":""},{"dropping-particle":"","family":"Højberg","given":"Anker Lajer","non-dropping-particle":"","parse-names":false,"suffix":""},{"dropping-particle":"","family":"Vanrolleghem","given":"Peter A.","non-dropping-particle":"","parse-names":false,"suffix":""}],"container-title":"Environmental Modelling and Software","id":"ITEM-5","issue":"11","issued":{"date-parts":[["2007"]]},"page":"1543-1556","title":"Uncertainty in the environmental modelling process - A framework and guidance","type":"article-journal","volume":"22"},"uris":["http://www.mendeley.com/documents/?uuid=7bf058d7-572f-4160-8706-f0355581bae9","http://www.mendeley.com/documents/?uuid=eef5ce59-5252-4a8e-8009-6f81f02bee23"]},{"id":"ITEM-6","itemData":{"DOI":"10.1098/rsta.2020.0071","ISBN":"0000000186612","ISSN":"14712962","PMID":"33775141","abstract":"Many computer models possess high-dimensional input spaces and substantial computational time to produce a single model evaluation. Although such models are often 'deterministic', these models suffer from a wide range of uncertainties. We argue that uncertainty quantification is crucial for computer model validation and reproducibility. We present a statistical framework, termed history matching, for performing global parameter search by comparing model output to the observed data. We employ Gaussian process (GP) emulators to produce fast predictions about model behaviour at the arbitrary input parameter settings allowing output uncertainty distributions to be calculated. History matching identifies sets of input parameters that give rise to acceptable matches between observed data and model output given our representation of uncertainties. Modellers could proceed by simulating computer models' outputs of interest at these identified parameter settings and producing a range of predictions. The variability in model results is crucial for inter-model comparison as well as model development. We illustrate the performance of emulation and history matching on a simple one-dimensional toy model and in application to a climate model. This article is part of the theme issue 'Reliability and reproducibility in computational science: implementing verification, validation and uncertainty quantification in silico'.","author":[{"dropping-particle":"","family":"Volodina","given":"Victoria","non-dropping-particle":"","parse-names":false,"suffix":""},{"dropping-particle":"","family":"Challenor","given":"Peter","non-dropping-particle":"","parse-names":false,"suffix":""}],"container-title":"Philosophical transactions. Series A, Mathematical, physical, and engineering sciences","id":"ITEM-6","issued":{"date-parts":[["2021"]]},"page":"20200071","title":"The importance of uncertainty quantification in model reproducibility","type":"article-journal","volume":"379"},"uris":["http://www.mendeley.com/documents/?uuid=0bddc6a4-f6bc-4a9d-824e-719d6390314c"]},{"id":"ITEM-7","itemData":{"DOI":"10.1016/j.cirpj.2021.03.004","ISSN":"17555817","abstract":"Engineering systems must function effectively whilst maintaining reliability in service. Predicting maintenance costs and asset availability raises varying degrees of uncertainty from multiple sources. Previous reviews in this domain have assessed cost uncertainty and estimation for the entire life cycle. This paper presents a systematic review to investigate existing methodologies and challenges in uncertainty quantification, aggregation and forecasting for modern engineering systems through their in-service life. Approaches to forecast uncertainty here are hindered chiefly by data quality of available data, experience and knowledge. A total of 107 papers were analysed to answer three research questions based on the scope, through which two core research gaps were identified. An integrated combination of identified approaches will enhance rigour in uncertainty assessment and forecasting. This review contributes a systematic identification and assessment of current practices in uncertainty quantification and scientific methodologies to quantify, aggregate and forecast quantitative and qualitative uncertainties to better understand their impact on cost and availability to aid decision making throughout the in-service phase.","author":[{"dropping-particle":"","family":"Grenyer","given":"Alex","</w:instrText>
      </w:r>
      <w:r w:rsidRPr="001A5DAF">
        <w:rPr>
          <w:lang w:val="en-GB"/>
        </w:rPr>
        <w:instrText>non-dropping-particle":"","parse-names":false,"suffix":""},{"dropping-particle":"","family":"Erkoyuncu","given":"John A.","non-dropping-particle":"","parse-names":false,"suffix":""},{"dropping-particle":"","family":"Zhao","given":"Yifan","non-dropping-particle":"","parse-names":false,"suffix":""},{"dropping-particle":"","family":"Roy","given":"Rajkumar","non-dropping-particle":"","parse-names":false,"suffix":""}],"container-title":"CIRP Journal of Manufacturing Science and Technology","id":"ITEM-7","issued":{"date-parts":[["2021"]]},"page":"188-208","publisher":"CIRP","title":"A systematic review of multivariate uncertainty quantification for engineering systems","type":"article-journal","volume":"33"},"uris":["http://www.mendeley.com/documents/?uuid=8b7ea646-ea9e-4a06-8633-b9748234ae14"]}],"mendeley":{"formattedCitation":"(Grenyer et al., 2021; Han et al., 2011; Merz and Thieken, 2005; Refsgaard et al., 2007; Regan et al., 2002; Volodina and Challenor, 2021; Walker et al., 2003)","plainTextFormattedCitation":"(Grenyer et al., 2021; Han et al., 2011; Merz and Thieken, 2005; Refsgaard et al., 2007; Regan et al., 2002; Volodina and Challenor, 2021; Walker et al., 2003)","previouslyFormattedCitation":"(Grenyer et al., 2021; Han et al., 2011; Merz and Thieken, 2005; Refsgaard et al., 2007; Regan et al., 2002; Volodina and Challenor, 2021; Walker et al., 2003)"},"properties":{"noteIndex":0},"schema":"https://github.com/citation-style-language/schema/raw/master/csl-citation.json"}</w:instrText>
      </w:r>
      <w:r>
        <w:rPr>
          <w:lang w:val="en-GB"/>
        </w:rPr>
        <w:fldChar w:fldCharType="separate"/>
      </w:r>
      <w:r w:rsidRPr="001A5DAF">
        <w:rPr>
          <w:noProof/>
          <w:lang w:val="en-GB"/>
        </w:rPr>
        <w:t>(Grenyer et al., 2021; Han et al., 2011; Merz and Thieken, 2005; Refsgaard et al., 2007; Regan et al., 2002; Volodina and Challenor, 2021; Walker et al., 2003)</w:t>
      </w:r>
      <w:r>
        <w:rPr>
          <w:lang w:val="en-GB"/>
        </w:rPr>
        <w:fldChar w:fldCharType="end"/>
      </w:r>
      <w:r w:rsidRPr="001A5DAF">
        <w:rPr>
          <w:lang w:val="en-GB"/>
        </w:rPr>
        <w:t xml:space="preserve">. </w:t>
      </w:r>
      <w:r>
        <w:rPr>
          <w:lang w:val="en-GB"/>
        </w:rPr>
        <w:t xml:space="preserve">Generally, these taxonomies of uncertainty encompass three broad categories; uncertainty from natural randomness or variability in a system or process (aleatoric uncertainty), uncertainty in our knowledge of a system (including but not limited to; uncertainty in model structure, measurement and sampling errors, uncertainty in values of parameters), and uncertainty in our language, communication, and interpretation of processes. All of these sources are important contributors to scientific uncertainty, however, they cannot all be either quantified or reduced. In this paper, we focus on the second category, uncertainty in a system or process, refining further to concentrate on quantifiable uncertainty associated with the use of statistical or mathematical models (model-related uncertainty). </w:t>
      </w:r>
    </w:p>
    <w:p w14:paraId="565D3BFB" w14:textId="77777777" w:rsidR="00644FDF" w:rsidRDefault="00C732FA">
      <w:pPr>
        <w:rPr>
          <w:lang w:val="en-GB"/>
        </w:rPr>
      </w:pPr>
      <w:r>
        <w:rPr>
          <w:lang w:val="en-GB"/>
        </w:rPr>
        <w:t xml:space="preserve"> </w:t>
      </w:r>
    </w:p>
    <w:p w14:paraId="51D2FB74" w14:textId="7EFDDD29" w:rsidR="00644FDF" w:rsidRDefault="00C732FA">
      <w:pPr>
        <w:rPr>
          <w:lang w:val="en-GB"/>
        </w:rPr>
      </w:pPr>
      <w:r>
        <w:rPr>
          <w:lang w:val="en-GB"/>
        </w:rPr>
        <w:t xml:space="preserve">The importance of uncertainty associated with results of statistical and mathematical models is increasingly recognised because of prominent </w:t>
      </w:r>
      <w:r>
        <w:rPr>
          <w:bCs/>
          <w:color w:val="000000" w:themeColor="text1"/>
          <w:lang w:val="en-GB"/>
        </w:rPr>
        <w:t xml:space="preserve">work </w:t>
      </w:r>
      <w:r w:rsidR="008C3670">
        <w:rPr>
          <w:bCs/>
          <w:color w:val="000000" w:themeColor="text1"/>
          <w:lang w:val="en-GB"/>
        </w:rPr>
        <w:t>in fields such as</w:t>
      </w:r>
      <w:r>
        <w:rPr>
          <w:bCs/>
          <w:color w:val="000000" w:themeColor="text1"/>
          <w:lang w:val="en-GB"/>
        </w:rPr>
        <w:t xml:space="preserve"> </w:t>
      </w:r>
      <w:r w:rsidR="00590C49">
        <w:rPr>
          <w:bCs/>
          <w:color w:val="000000" w:themeColor="text1"/>
          <w:lang w:val="en-GB"/>
        </w:rPr>
        <w:t>C</w:t>
      </w:r>
      <w:r>
        <w:rPr>
          <w:bCs/>
          <w:color w:val="000000" w:themeColor="text1"/>
          <w:lang w:val="en-GB"/>
        </w:rPr>
        <w:t xml:space="preserve">limate </w:t>
      </w:r>
      <w:r w:rsidR="00590C49">
        <w:rPr>
          <w:bCs/>
          <w:color w:val="000000" w:themeColor="text1"/>
          <w:lang w:val="en-GB"/>
        </w:rPr>
        <w:t>C</w:t>
      </w:r>
      <w:r>
        <w:rPr>
          <w:bCs/>
          <w:color w:val="000000" w:themeColor="text1"/>
          <w:lang w:val="en-GB"/>
        </w:rPr>
        <w:t>hange</w:t>
      </w:r>
      <w:r w:rsidR="00BD4033">
        <w:rPr>
          <w:bCs/>
          <w:color w:val="000000" w:themeColor="text1"/>
          <w:lang w:val="en-GB"/>
        </w:rPr>
        <w:t xml:space="preserve"> </w:t>
      </w:r>
      <w:r>
        <w:rPr>
          <w:lang w:val="en-GB"/>
        </w:rPr>
        <w:fldChar w:fldCharType="begin" w:fldLock="1"/>
      </w:r>
      <w:r>
        <w:rPr>
          <w:bCs/>
          <w:color w:val="000000"/>
          <w:lang w:val="en-GB"/>
        </w:rPr>
        <w:instrText>ADDIN CSL_CITATION {"citationItems":[{"id":"ITEM-1","itemData":{"ISBN":"9789291691432","abstract":"Final Draft Underlying Scientific-Technical Assessment A report accepted by Working Group I of the IPCC but not approved in detail .","author":[{"dropping-particle":"","family":"IPCC","given":"","non-dropping-particle":"","parse-names":false,"suffix":""}],"container-title":"IPCC","id":"ITEM-1","issued":{"date-parts":[["2013"]]},"title":"IPCC Fifth Assessment Report","type":"article-journal"},"uris":["http://www.mendeley.com/documents/?uuid=1546b3ca-5abf-30b3-960e-59c15433886a"]},{"id":"ITEM-2","itemData":{"DOI":"10.1098/rsta.2020.0071","ISBN":"0000000186612","ISSN":"14712962","PMID":"33775141","abstract":"Many computer models possess high-dimensional input spaces and substantial computational time to produce a single model evaluation. Although such models are often 'deterministic', these models suffer from a wide range of uncertainties. We argue that uncertainty quantification is crucial for computer model validation and reproducibility. We present a statistical framework, termed history matching, for performing global parameter search by comparing model output to the observed data. We employ Gaussian process (GP) emulators to produce fast predictions about model behaviour at the arbitrary input parameter settings allowing output uncertainty distributions to be calculated. History matching identifies sets of input parameters that give rise to acceptable matches between observed data and model output given our representation of uncertainties. Modellers could proceed by simulating computer models' outputs of interest at these identified parameter settings and producing a range of predictions. The variability in model results is crucial for inter-model comparison as well as model development. We illustrate the performance of emulation and history matching on a simple one-dimensional toy model and in application to a climate model. This article is part of the theme issue 'Reliability and reproducibility in computational science: implementing verification, validation and uncertainty quantification in silico'.","author":[{"dropping-particle":"","family":"Volodina","given":"Victoria","non-dropping-particle":"","parse-names":false,"suffix":""},{"dropping-particle":"","family":"Challenor","given":"Peter","non-dropping-particle":"","parse-names":false,"suffix":""}],"container-title":"Philosophical transactions. Series A, Mathematical, physical, and engineering sciences","id":"ITEM-2","issued":{"date-parts":[["2021"]]},"page":"20200071","title":"The importance of uncertainty quantification in model reproducibility","type":"article-journal","volume":"379"},"uris":["http://www.mendeley.com/documents/?uuid=0bddc6a4-f6bc-4a9d-824e-719d6390314c"]}],"mendeley":{"formattedCitation":"(IPCC, 2013; Volodina and Challenor, 2021)","plainTextFormattedCitation":"(IPCC, 2013; Volodina and Challenor, 2021)","previouslyFormattedCitation":"(IPCC, 2013; Volodina and Challenor, 2021)"},"properties":{"noteIndex":0},"schema":"https://github.com/citation-style-language/schema/raw/master/csl-citation.json"}</w:instrText>
      </w:r>
      <w:r>
        <w:rPr>
          <w:bCs/>
          <w:color w:val="000000"/>
          <w:lang w:val="en-GB"/>
        </w:rPr>
        <w:fldChar w:fldCharType="separate"/>
      </w:r>
      <w:r>
        <w:rPr>
          <w:bCs/>
          <w:noProof/>
          <w:color w:val="000000" w:themeColor="text1"/>
          <w:lang w:val="en-GB"/>
        </w:rPr>
        <w:t>(IPCC, 2013; Volodina and Challenor, 2021)</w:t>
      </w:r>
      <w:r>
        <w:rPr>
          <w:bCs/>
          <w:color w:val="000000"/>
          <w:lang w:val="en-GB"/>
        </w:rPr>
        <w:fldChar w:fldCharType="end"/>
      </w:r>
      <w:r>
        <w:rPr>
          <w:bCs/>
          <w:color w:val="000000" w:themeColor="text1"/>
          <w:lang w:val="en-GB"/>
        </w:rPr>
        <w:t xml:space="preserve"> and </w:t>
      </w:r>
      <w:r w:rsidR="00590C49">
        <w:rPr>
          <w:bCs/>
          <w:color w:val="000000" w:themeColor="text1"/>
          <w:lang w:val="en-GB"/>
        </w:rPr>
        <w:t>E</w:t>
      </w:r>
      <w:r>
        <w:rPr>
          <w:bCs/>
          <w:color w:val="000000" w:themeColor="text1"/>
          <w:lang w:val="en-GB"/>
        </w:rPr>
        <w:t>pidemiolog</w:t>
      </w:r>
      <w:r w:rsidR="008C3670">
        <w:rPr>
          <w:bCs/>
          <w:color w:val="000000" w:themeColor="text1"/>
          <w:lang w:val="en-GB"/>
        </w:rPr>
        <w:t>y</w:t>
      </w:r>
      <w:r w:rsidR="008C3670" w:rsidDel="008C3670">
        <w:rPr>
          <w:bCs/>
          <w:color w:val="000000" w:themeColor="text1"/>
          <w:lang w:val="en-GB"/>
        </w:rPr>
        <w:t xml:space="preserve"> </w:t>
      </w:r>
      <w:r>
        <w:rPr>
          <w:lang w:val="en-GB"/>
        </w:rPr>
        <w:fldChar w:fldCharType="begin" w:fldLock="1"/>
      </w:r>
      <w:r>
        <w:rPr>
          <w:bCs/>
          <w:color w:val="000000"/>
          <w:lang w:val="en-GB"/>
        </w:rPr>
        <w:instrText>ADDIN CSL_CITATION {"citationItems":[{"id":"ITEM-1","itemData":{"DOI":"10.1016/j.prrv.2020.06.014","ISSN":"15260550","PMID":"32680824","abstract":"Coronavirus disease 2019 (COVID-19) is a newly emerged infectious disease caused by the severe acute respiratory syndrome coronavirus-2 (SARS-CoV-2) that was declared a pandemic by the World Health Organization on 11th March, 2020. Response to this ongoing pandemic requires extensive collaboration across the scientific community in an attempt to contain its impact and limit further transmission. Mathematical modelling has been at the forefront of these response efforts by: (1) providing initial estimates of the SARS-CoV-2 reproduction rate, R0 (of approximately 2–3); (2) updating these estimates following the implementation of various interventions (with significantly reduced, often sub-critical, transmission rates); (3) assessing the potential for global spread before significant case numbers had been reported internationally; and (4) quantifying the expected disease severity and burden of COVID-19, indicating that the likely true infection rate is often orders of magnitude greater than estimates based on confirmed case counts alone. In this review, we highlight the critical role played by mathematical modelling to understand COVID-19 thus far, the challenges posed by data availability and uncertainty, and the continuing utility of modelling-based approaches to guide decision making and inform the public health response. †Unless otherwise stated, all bracketed error margins correspond to the 95% credible interval (CrI) for reported estimates.","author":[{"dropping-particle":"","family":"Meehan","given":"Michael T.","non-dropping-particle":"","parse-names":false,"suffix":""},{"dropping-particle":"","family":"Rojas","given":"Diana P.","non-dropping-particle":"","parse-names":false,"suffix":""},{"dropping-particle":"","family":"Adekunle","given":"Adeshina I.","non-dropping-particle":"","parse-names":false,"suffix":""},{"dropping-particle":"","family":"Adegboye","given":"Oyelola A.","non-dropping-particle":"","parse-names":false,"suffix":""},{"dropping-particle":"","family":"Caldwell","given":"Jamie M.","non-dropping-particle":"","parse-names":false,"suffix":""},{"dropping-particle":"","family":"Turek","given":"Evelyn","non-dropping-particle":"","parse-names":false,"suffix":""},{"dropping-particle":"","family":"Williams","given":"Bridget M.","non-dropping-particle":"","parse-names":false,"suffix":""},{"dropping-particle":"","family":"Marais","given":"Ben J.","non-dropping-particle":"","parse-names":false,"suffix":""},{"dropping-particle":"","family":"Trauer","given":"James M.","non-dropping-particle":"","parse-names":false,"suffix":""},{"dropping-particle":"","family":"McBryde","given":"Emma S.","non-dropping-particle":"","parse-names":false,"suffix":""}],"container-title":"Paediatric Respiratory Reviews","id":"ITEM-1","issued":{"date-parts":[["2020"]]},"page":"64-69","publisher":"Elsevier Ltd","title":"Modelling insights into the COVID-19 pandemic","type":"article-journal","volume":"35"},"uris":["http://www.mendeley.com/documents/?uuid=101441a8-79f5-4bfc-9c25-89a813d0b5db"]},{"id":"ITEM-2","itemData":{"author":[{"dropping-particle":"","family":"Roberts","given":"Siobhan","non-dropping-particle":"","parse-names":false,"suffix":""}],"container-title":"The New York Times","id":"ITEM-2","issued":{"date-parts":[["2020"]]},"page":"Section A, p4","title":"Embracing the Uncertainties - The New York Times","type":"article-newspaper"},"uris":["http://www.mendeley.com/documents/?uuid=317ea10d-a3d9-41cd-82fd-0fda961779a3"]},{"id":"ITEM-3","itemData":{"DOI":"10.1177/0272989X21990391","ISSN":"1552681X","abstract":"Mathematical modeling has played a prominent and necessary role in the current coronavirus disease 2019 (COVID-19) pandemic, with an increasing number of models being developed to track and project the spread of the disease, as well as major decisions being made based on the results of these studies. A proliferation of models, often diverging widely in their projections, has been accompanied by criticism of the validity of modeled analyses and uncertainty as to when and to what extent results can be trusted. Drawing on examples from COVID-19 and other infectious diseases of global importance, we review key limitations of mathematical modeling as a tool for interpreting empirical data and informing individual and public decision making. We present several approaches that have been used to strengthen the validity of inferences drawn from these analyses, approaches that will enable better decision making in the current COVID-19 crisis and beyond.","author":[{"dropping-particle":"","family":"James","given":"Lyndon P.","non-dropping-particle":"","parse-names":false,"suffix":""},{"dropping-particle":"","family":"Salomon","given":"Joshua A.","non-dropping-particle":"","parse-names":false,"suffix":""},{"dropping-particle":"","family":"Buckee","given":"Caroline O.","non-dropping-particle":"","parse-names":false,"suffix":""},{"dropping-particle":"","family":"Menzies","given":"Nicolas A.","non-dropping-particle":"","parse-names":false,"suffix":""}],"container-title":"Medical Decision Making","id":"ITEM-3","issue":"4","issued":{"date-parts":[["2021"]]},"page":"379-385","title":"The Use and Misuse of Mathematical Modeling for Infectious Disease Policymaking: Lessons for the COVID-19 Pandemic","type":"article-journal","volume":"41"},"uris":["http://www.mendeley.com/documents/?uuid=445d4df7-d067-4648-aa86-1daba82a4347"]},{"id":"ITEM-4","itemData":{"DOI":"10.1038/s43588-021-00028-9","ISSN":"2662-8457","abstract":"C ovidSim is an individual-based simulation code developed by the MRC Centre for Global Infectious Disease Analysis at Imperial College London. It is a modified version of an earlier model designed to support pandemic influenza planning 1 and has now been used to explore various non-pharmaceutical interventions (NPIs) with the aim of reducing the transmission of the coronavi-rus, as documented in the key paper 2 denoted Report 9. CovidSim played an important role in the United Kingdom in reorienting UK Government policy from herd immunity to a strategy focused on suppression of the viral infection. It should be noted, however, that many competitor models exist. Notable examples include the work performed at the London School of Hygiene and Tropical Medicine (see, for instance, refs. 3,4 and especially ref. 5), in which the effects of different NPIs in the UK are modelled. Another noteworthy model is CovaSim 6 , which is similar in structure to CovidSim in the sense that it models a population of individuals via discrete agents. Likewise, CovidSim creates a network of individuals located in areas defined by high-resolution population density data. In the model, contacts with other individuals can be made in four different types of place, namely, within households, at schools, universities and work places. It is possible to model a combination of different NPIs, namely, general social distancing (SD), social distancing for those over 70 years of age (SDOL70), home isolation of suspected cases (CI), voluntary home quarantine (HQ) and place closure of universities and schools (PC) (see Table 2 of ref. 2). CovidSim contains over 900 input parameters, which are mainly located in two input files. Furthermore, a small number of parameters that define certain characteristics of the intervention scenario one wishes to study are supplied via the command line. We investigated the reproducibility of the code, as has been done in past work 7,8. That said, we especially focus on CovidSim's robust-ness to uncertainty in the input parameters. By robustness in this context, we mean the extent to which the code amplifies uncertainties from the input to the output. Our main aim is to thus take the model as given and examine the uncertainty in its predictions when its parameters are treated as random variables instead of determin-istic inputs. We will use a dimension-adaptive sampling method for this purpose 9 to be able to handle the high-dimensional input space. This type…","author":[{"dropping-particle":"","family":"Edeling","given":"Wouter","non-dropping-particle":"","parse-names":false,"suffix":""},{"dropping-particle":"","family":"Arabnejad","given":"Hamid","non-dropping-particle":"","parse-names":false,"suffix":""},{"dropping-particle":"","family":"Sinclair","given":"Robbie","non-dropping-particle":"","parse-names":false,"suffix":""},{"dropping-particle":"","family":"Suleimenova","given":"Diana","non-dropping-particle":"","parse-names":false,"suffix":""},{"dropping-particle":"","family":"Gopalakrishnan","give</w:instrText>
      </w:r>
      <w:r w:rsidRPr="001A5DAF">
        <w:rPr>
          <w:bCs/>
          <w:color w:val="000000"/>
          <w:lang w:val="en-GB"/>
        </w:rPr>
        <w:instrText>n":"Krishnakumar","non-dropping-particle":"","parse-names":false,"suffix":""},{"dropping-particle":"","family":"Bosak","given":"Bartosz","non-dropping-particle":"","parse-names":false,"suffix":""},{"dropping-particle":"","family":"Groen","given":"Derek","non-dropping-particle":"","parse-names":false,"suffix":""},{"dropping-particle":"","family":"Mahmood","given":"Imran","non-dropping-particle":"","parse-names":false,"suffix":""},{"dropping-particle":"","family":"Crommelin","given":"Daan","non-dropping-particle":"","parse-names":false,"suffix":""},{"dropping-particle":"V.","family":"Coveney","given":"Peter","non-dropping-particle":"","parse-names":false,"suffix":""}],"container-title":"Nature Computational Science","id":"ITEM-4","issue":"2","issued":{"date-parts":[["2021"]]},"page":"128-135","publisher":"Springer US","title":"The impact of uncertainty on predictions of the CovidSim epidemiological code","type":"article-journal","volume":"1"},"uris":["http://www.mendeley.com/documents/?uuid=ef2cdc78-d320-450b-b1b0-a58d13b04ae4"]}],"mendeley":{"formattedCitation":"(Edeling et al., 2021; James et al., 2021; Meehan et al., 2020; Roberts, 2020)","plainTextFormattedCitation":"(Edeling et al., 2021; James et al., 2021; Meehan et al., 2020; Roberts, 2020)","previouslyFormattedCitation":"(Edeling et al., 2021; James et al., 2021; Meehan et al., 2020; Roberts, 2020)"},"properties":{"noteIndex":0},"schema":"https://github.com/citation-style-language/schema/raw/master/csl-citation.json"}</w:instrText>
      </w:r>
      <w:r>
        <w:rPr>
          <w:bCs/>
          <w:color w:val="000000"/>
          <w:lang w:val="en-GB"/>
        </w:rPr>
        <w:fldChar w:fldCharType="separate"/>
      </w:r>
      <w:r w:rsidRPr="001A5DAF">
        <w:rPr>
          <w:bCs/>
          <w:noProof/>
          <w:color w:val="000000" w:themeColor="text1"/>
          <w:lang w:val="en-GB"/>
        </w:rPr>
        <w:t>(Edeling et al., 2021; James et al., 2021; Meehan et al., 2020; Roberts, 2020)</w:t>
      </w:r>
      <w:r>
        <w:rPr>
          <w:bCs/>
          <w:color w:val="000000"/>
          <w:lang w:val="en-GB"/>
        </w:rPr>
        <w:fldChar w:fldCharType="end"/>
      </w:r>
      <w:r w:rsidRPr="001A5DAF">
        <w:rPr>
          <w:bCs/>
          <w:color w:val="000000" w:themeColor="text1"/>
          <w:lang w:val="en-GB"/>
        </w:rPr>
        <w:t xml:space="preserve">. </w:t>
      </w:r>
      <w:r>
        <w:rPr>
          <w:bCs/>
          <w:color w:val="000000" w:themeColor="text1"/>
          <w:lang w:val="en-GB"/>
        </w:rPr>
        <w:t>Nevertheless, quantification of model-related uncertainty and its reporting are not consistent or complete</w:t>
      </w:r>
      <w:r w:rsidR="00BD4033">
        <w:rPr>
          <w:bCs/>
          <w:color w:val="000000" w:themeColor="text1"/>
          <w:lang w:val="en-GB"/>
        </w:rPr>
        <w:t xml:space="preserve"> </w:t>
      </w:r>
      <w:r>
        <w:rPr>
          <w:lang w:val="en-GB"/>
        </w:rPr>
        <w:fldChar w:fldCharType="begin" w:fldLock="1"/>
      </w:r>
      <w:r>
        <w:rPr>
          <w:bCs/>
          <w:color w:val="000000"/>
          <w:lang w:val="en-GB"/>
        </w:rPr>
        <w:instrText>ADDIN CSL_CITATION {"citationItems":[{"id":"ITEM-1","itemData":{"DOI":"10.1177/0272989X21990391","ISSN":"1552681X","abstract":"Mathematical modeling has played a prominent and necessary role in the current coronavirus disease 2019 (COVID-19) pandemic, with an increasing number of models being developed to track and project the spread of the disease, as well as major decisions being made based on the results of these studies. A proliferation of models, often diverging widely in their projections, has been accompanied by criticism of the validity of modeled analyses and uncertainty as to when and to what extent results can be trusted. Drawing on examples from COVID-19 and other infectious diseases of global importance, we review key limitations of mathematical modeling as a tool for interpreting empirical data and informing individual and public decision making. We present several approaches that have been used to strengthen the validity of inferences drawn from these analyses, approaches that will enable better decision making in the current COVID-19 crisis and beyond.","author":[{"dropping-particle":"","family":"James","given":"Lyndon P.","non-dropping-particle":"","parse-names":false,"suffix":""},{"dropping-particle":"","family":"Salomon","given":"Joshua A.","non-dropping-particle":"","parse-names":false,"suffix":""},{"dropping-particle":"","family":"Buckee","given":"Caroline O.","non-dropping-particle":"","parse-names":false,"suffix":""},{"dropping-particle":"","family":"Menzies","given":"Nicolas A.","non-dropping-particle":"","parse-names":false,"suffix":""}],"container-title":"Medical Decision Making","id":"ITEM-1","issue":"4","issued":{"date-parts":[["2021"]]},"page":"379-385","title":"The Use and Misuse of Mathematical Modeling for Infectious Disease Policymaking: Lessons for the COVID-19 Pandemic","type":"article-journal","volume":"41"},"uris":["http://www.mendeley.com/documents/?uuid=445d4df7-d067-4648-aa86-1daba82a4347"]},{"id":"ITEM-2","itemData":{"DOI":"10.1098/rsos.181870","ISBN":"0000000241151","ISSN":"20545703","abstract":"Uncertainty is an inherent part of knowledge, and yet in an era of contested expertise, many shy away from openly communicating their uncertainty about what they know, fearful of their audience's reaction. But what effect does communication of such epistemic uncertainty have? Empirical research is widely scattered across many disciplines. This interdisciplinary review structures and summarizes current practice and research across domains, combining a statistical and psychological perspective. This informs a framework for uncertainty communication in which we identify three objects of uncertainty-facts, numbers and science-and two levels of uncertainty: direct and indirect. An examination of current practices provides a scale of nine expressions of direct uncertainty. We discuss attempts to codify indirect uncertainty in terms of quality of the underlying evidence. We review the limited literature about the effects of communicating epistemic uncertainty on cognition, affect, trust and decision-making. While there is some evidence that communicating epistemic uncertainty does not necessarily affect audiences negatively, impact can vary between individuals and communication formats. Case studies in economic statistics and climate change illustrate our framework in action. We conclude with advice to guide both communicators and future researchers in this important but so far rather neglected field.","author":[{"dropping-particle":"","family":"Bles","given":"Anne Marthe","non-dropping-particle":"Van Der","parse-names":false,"suffix":""},{"dropping-particle":"","family":"Linden","given":"Sander","non-dropping-particle":"Van Der","parse-names":false,"suffix":""},{"dropping-particle":"","family":"Freeman","given":"Alexandra L.J.","non-dropping-particle":"","parse-names":false,"suffix":""},{"dropping-particle":"","family":"Mitchell","given":"James","non-dropping-particle":"","parse-names":false,"suffix":""},{"dropping-particle":"","family":"Galvao","given":"Ana B.","non-dropping-particle":"","parse-names":false,"suffix":""},{"dropping-particle":"","family":"Zaval","given":"Lisa","non-dropping-particle":"","parse-names":false,"suffix":""},{"dropping-particle":"","family":"Spiegelhalter","given":"David J.","non-dropping-particle":"","parse-names":false,"suffix":""}],"container-title":"Royal Society Open Science","id":"ITEM-2","issue":"5","issued":{"date-parts":[["2019"]]},"page":"181870","title":"Communicating uncertainty about facts, numbers and science","type":"article-journal","volume":"6"},"uris":["http://www.mendeley.com/documents/?uuid=df6f606f-8c64-4e24-8c99-e9b2e65b4fd5"]}],"mendeley":{"formattedCitation":"(James et al., 2021; Van Der Bles et al., 2019)","plainTextFormattedCitation":"(James et al., 2021; Van Der Bles et al., 2019)","previouslyFormattedCitation":"(James et al., 2021; Van Der Bles et al., 2019)"},"properties":{"noteIndex":0},"schema":"https://github.com/citation-style-language/schema/raw/master/csl-citation.json"}</w:instrText>
      </w:r>
      <w:r>
        <w:rPr>
          <w:bCs/>
          <w:color w:val="000000"/>
          <w:lang w:val="en-GB"/>
        </w:rPr>
        <w:fldChar w:fldCharType="separate"/>
      </w:r>
      <w:r>
        <w:rPr>
          <w:bCs/>
          <w:noProof/>
          <w:color w:val="000000" w:themeColor="text1"/>
          <w:lang w:val="en-GB"/>
        </w:rPr>
        <w:t>(James et al., 2021; Van Der Bles et al., 2019)</w:t>
      </w:r>
      <w:r>
        <w:rPr>
          <w:bCs/>
          <w:color w:val="000000"/>
          <w:lang w:val="en-GB"/>
        </w:rPr>
        <w:fldChar w:fldCharType="end"/>
      </w:r>
      <w:r>
        <w:rPr>
          <w:bCs/>
          <w:color w:val="000000" w:themeColor="text1"/>
          <w:lang w:val="en-GB"/>
        </w:rPr>
        <w:t xml:space="preserve"> within</w:t>
      </w:r>
      <w:r w:rsidR="00BD4033">
        <w:rPr>
          <w:bCs/>
          <w:color w:val="000000" w:themeColor="text1"/>
          <w:lang w:val="en-GB"/>
        </w:rPr>
        <w:t xml:space="preserve"> </w:t>
      </w:r>
      <w:r>
        <w:rPr>
          <w:lang w:val="en-GB"/>
        </w:rPr>
        <w:fldChar w:fldCharType="begin" w:fldLock="1"/>
      </w:r>
      <w:r>
        <w:rPr>
          <w:bCs/>
          <w:color w:val="000000"/>
          <w:lang w:val="en-GB"/>
        </w:rPr>
        <w:instrText>ADDIN CSL_CITATION {"citationItems":[{"id":"ITEM-1","itemData":{"DOI":"10.1111/1365-2664.12887","ISSN":"13652664","abstract":"Applied ecologists often face uncertainty that hinders effective decision-making. Common traps that may catch the unwary are: ignoring uncertainty, acknowledging uncertainty but ploughing on, focussing on trivial uncertainties, believing your models, and unclear objectives. We integrate research insights and examples from a wide range of applied ecological fields to illustrate advances that are generally underused, but could facilitate ecologists’ ability to plan and execute research to support management. Recommended approaches to avoid uncertainty traps are: embracing models, using decision theory, using models more effectively, thinking experimentally, and being realistic about uncertainty. Synthesis and applications. Applied ecologists can become more effective at informing management by using approaches that explicitly take account of uncertainty.","author":[{"dropping-particle":"","family":"Milner-Gulland","given":"E. J.","non-dropping-particle":"","parse-names":false,"suffix":""},{"dropping-particle":"","family":"Shea","given":"Katriona","non-dropping-particle":"","parse-names":false,"suffix":""}],"container-title":"Journal of Applied Ecology","id":"ITEM-1","issue":"6","issued":{"date-parts":[["2017"]]},"page":"2063-2068","title":"Embracing uncertainty in applied ecology","type":"article-journal","volume":"54"},"uris":["http://www.mendeley.com/documents/?uuid=ed050f31-6b85-4385-8ba4-d3235a89cddf"]},{"id":"ITEM-2","itemData":{"DOI":"10.1098/rsta.2020.0071","ISBN":"0000000186612","ISSN":"14712962","PMID":"33775141","abstract":"Many computer models possess high-dimensional input spaces and substantial computational time to produce a single model evaluation. Although such models are often 'deterministic', these models suffer from a wide range of uncertainties. We argue that uncertainty quantification is crucial for computer model validation and reproducibility. We present a statistical framework, termed history matching, for performing global parameter search by comparing model output to the observed data. We employ Gaussian process (GP) emulators to produce fast predictions about model behaviour at the arbitrary input parameter settings allowing output uncertainty distributions to be calculated. History matching identifies sets of input parameters that give rise to acceptable matches between observed data and model output given our representation of uncertainties. Modellers could proceed by simulating computer models' outputs of interest at these identified parameter settings and producing a range of predictions. The variability in model results is crucial for inter-model comparison as well as model development. We illustrate the performance of emulation and history matching on a simple one-dimensional toy model and in application to a climate model. This article is part of the theme issue 'Reliability and reproducibility in computational science: implementing verification, validation and uncertainty quantification in silico'.","author":[{"dropping-particle":"","family":"Volodina","given":"Victoria","non-dropping-particle":"","parse-names":false,"suffix":""},{"dropping-particle":"","family":"Challenor","given":"Peter","non-dropping-particle":"","parse-names":false,"suffix":""}],"container-title":"Philosophical transactions. Series A, Mathematical, physical, and engineering sciences","id":"ITEM-2","issued":{"date-parts":[["2021"]]},"page":"20200071","title":"The importance of uncertainty quantification in model reproducibility","type":"article-journal","volume":"379"},"uris":["http://www.mendeley.com/documents/?uuid=0bddc6a4-f6bc-4a9d-824e-719d6390314c"]},{"id":"ITEM-3","itemData":{"DOI":"10.1177/0272989X21990391","ISSN":"1552681X","abstract":"Mathematical modeling has played a prominent and necessary role in the current coronavirus disease 2019 (COVID-19) pandemic, with an increasing number of models being developed to track and project the spread of the disease, as well as major decisions being made based on the results of these studies. A proliferation of models, often diverging widely in their projections, has been accompanied by criticism of the validity of modeled analyses and uncertainty as to when and to what extent results can be trusted. Drawing on examples from COVID-19 and other infectious diseases of global importance, we review key limitations of mathematical modeling as a tool for interpreting empirical data and informing individual and public decision making. We present several approaches that have been used to strengthen the validity of inferences drawn from these analyses, approaches that will enable better decision making in the current COVID-19 crisis and beyond.","author":[{"dropping-particle":"","family":"James","given":"Lyndon P.","non-dropping-particle":"","parse-names":false,"suffix":""},{"dropping-particle":"","family":"Salomon","given":"Joshua A.","non-dropping-particle":"","parse-names":false,"suffix":""},{"dropping-particle":"","family":"Buckee","given":"Caroline O.","non-dropping-particle":"","parse-names":false,"suffix":""},{"dropping-particle":"","family":"Menzies","given":"Nicolas A.","non-dropping-particle":"","parse-names":false,"suffix":""}],"container-title":"Medical Decision Making","id":"ITEM-3","issue":"4","issued":{"date-parts":[["2021"]]},"page":"379-385","title":"The Use and Misuse of Mathematical Modeling for Infectious Disease Policymaking: Lessons for the COVID-19 Pandemic","type":"article-journal","volume":"41"},"uris":["http://www.mendeley.com/documents/?uuid=445d4df7-d067-4648-aa86-1daba82a4347"]},{"id":"ITEM-4","itemData":{"DOI":"10.1111/icad.12468","ISSN":"1752-458X","abstract":"at Nature for nine months before a decision was made to not publish the exchange. We now share the comment and response from Seibold et al. 2019 as preprints to further the discussion of how best to model and interpret population and biodiversity change. For Seibold et al.'s reply to our response, please see: Insights from regional and short-term biodiversity monitoring datasets are valuable. A Reply to Daskalova et al. 2020 EcoEvoRxiv doi:10.32942/osf.io/cg3zs https://ecoevorxiv.org/zyhf7 Summary An accumulating number of studies are reporting severe biomass, abundance and/or species richness declines of insects (Hallmann et al., 2017; Lister &amp; Garcia, 2018; Seibold et al., 2019; Sánchez-Bayo &amp; Wyckhuys, 2019). Collectively these studies aim to quantify the net change in invertebrate populations and/or community composition over time and to establish whether such changes can be attributed to anthropogenic drivers (Macgregor, analysed a dataset of arthropod biomass, abundance and species richness from forest and grassland plots in a region of Germany and report significant declines of up to 78% over the time period of 2008 to 2018 (Seibold et al., 2019). However, their analysis did not account for the confounding effects of temporal pseudoreplication of observations from the same years. We show that simply by including a year random effect in the statistical models and thereby accounting for the common conditions experienced by observations from proximal sites in the same years, four of the five reported declines become non-significant out of six tests overall. To place their estimated effect sizes and those of other recent studies of insect declines in a broader geographic context, we analysed invertebrate biomass, abundance and species richness over time from 640 time series from 1167 sites around the world. We found that the average trend across the terrestrial and freshwater realms was not significantly distinguishable from no net change. Shorter time series that are likely to be most affected by sampling error variance-such as those reported in Seibold et al. 2019-yielded the most extreme estimates of decline or increase. We suggest that the uncritical media uptake of extreme negative trends from short time series may be serving to exaggerate the speed of \"insect Armageddon\" and could eventually undermine public","author":[{"dropping-particle":"","family":"Daskalova","given":"Gergana N.","non-dropping-particle":"","parse-names":false,"suffix":""},{"dropping-particle":"","family":"Phillimore","given":"Albert B.","non-dropping-particle":"","parse-names":false,"suffix":""},{"dropping-particle":"","family":"Myers</w:instrText>
      </w:r>
      <w:r>
        <w:rPr>
          <w:rFonts w:ascii="Cambria Math" w:hAnsi="Cambria Math" w:cs="Cambria Math"/>
          <w:bCs/>
          <w:color w:val="000000"/>
          <w:lang w:val="en-GB"/>
        </w:rPr>
        <w:instrText>‐</w:instrText>
      </w:r>
      <w:r>
        <w:rPr>
          <w:bCs/>
          <w:color w:val="000000"/>
          <w:lang w:val="en-GB"/>
        </w:rPr>
        <w:instrText>Smith","given":"Isla H.","non-dropping-particle":"","parse-names":false,"suffix":""}],"container-title":"Insect Conservation and Diversity","id":"ITEM-4","issue":"1","issued":{"date-parts":[["2021"]]},"page":"149-154","title":" Accounting for year effects and sampling error in temporal analyses of invertebrate population and biodiversity change: a comment on Seibold et al . 2019 ","type":"article-journal","volume":"14"},"uris":["http://www.mendeley.com/documents/?uuid=a87c0427-6dd8-453b-9175-409113a86749"]}],"mendeley":{"formattedCitation":"(Daskalova et al., 2021; James et al., 2021; Milner-Gulland and Shea, 2017; Volodina and Challenor, 2021)","plainTextFormattedCitation":"(Daskalova et al., 2021; James et al., 2021; Milner-Gulland and Shea, 2017; Volodina and Challenor, 2021)","previouslyFormattedCitation":"(Daskalova et al., 2021; James et al., 2021; Milner-Gulland and Shea, 2017; Volodina and Challenor, 2021)"},"properties":{"noteIndex":0},"schema":"https://github.com/citation-style-language/schema/raw/master/csl-citation.json"}</w:instrText>
      </w:r>
      <w:r>
        <w:rPr>
          <w:bCs/>
          <w:color w:val="000000"/>
          <w:lang w:val="en-GB"/>
        </w:rPr>
        <w:fldChar w:fldCharType="separate"/>
      </w:r>
      <w:r>
        <w:rPr>
          <w:bCs/>
          <w:noProof/>
          <w:color w:val="000000" w:themeColor="text1"/>
          <w:lang w:val="en-GB"/>
        </w:rPr>
        <w:t>(Daskalova et al., 2021; James et al., 2021; Milner-Gulland and Shea, 2017; Volodina and Challenor, 2021)</w:t>
      </w:r>
      <w:r>
        <w:rPr>
          <w:bCs/>
          <w:color w:val="000000"/>
          <w:lang w:val="en-GB"/>
        </w:rPr>
        <w:fldChar w:fldCharType="end"/>
      </w:r>
      <w:r>
        <w:rPr>
          <w:bCs/>
          <w:color w:val="000000" w:themeColor="text1"/>
          <w:lang w:val="en-GB"/>
        </w:rPr>
        <w:t xml:space="preserve"> or between scientific fields</w:t>
      </w:r>
      <w:r w:rsidR="00CD13E7">
        <w:rPr>
          <w:bCs/>
          <w:color w:val="000000" w:themeColor="text1"/>
          <w:lang w:val="en-GB"/>
        </w:rPr>
        <w:t xml:space="preserve"> </w:t>
      </w:r>
      <w:r>
        <w:rPr>
          <w:lang w:val="en-GB"/>
        </w:rPr>
        <w:fldChar w:fldCharType="begin" w:fldLock="1"/>
      </w:r>
      <w:r>
        <w:rPr>
          <w:bCs/>
          <w:color w:val="000000"/>
          <w:lang w:val="en-GB"/>
        </w:rPr>
        <w:instrText>ADDIN CSL_CITATION {"citationItems":[{"id":"ITEM-1","itemData":{"DOI":"10.1098/rsta.2011.0280","ISSN":"1364503X","author":[{"dropping-particle":"","family":"Palmer","given":"T. N.","non-dropping-particle":"","parse-names":false,"suffix":""},{"dropping-particle":"","family":"Hardaker","given":"P. J.","non-dropping-particle":"","parse-names":false,"suffix":""}],"container-title":"Philosophical Transactions of the Royal Society A: Mathematical, Physical and Engineering Sciences","id":"ITEM-1","issue":"1956","issued":{"date-parts":[["2011"]]},"page":"4681-4684","title":"Handling uncertainty in science","type":"article-journal","volume":"369"},"uris":["http://www.mendeley.com/documents/?uuid=be48db5c-2546-4188-a5a7-299587fab550"]},{"id":"ITEM-2","itemData":{"DOI":"10.1038/s41467-019-11865-8","ISSN":"20411723","PMID":"31455789","author":[{"dropping-particle":"","family":"Saltelli","given":"Andrea","non-dropping-particle":"","parse-names":false,"suffix":""}],"container-title":"Nature Communications","id":"ITEM-2","issued":{"date-parts":[["2019"]]},"page":"1-3","publisher":"Springer US","title":"A short comment on statistical versus mathematical modelling","type":"article-journal","volume":"10"},"uris":["http://www.mendeley.com/documents/?uuid=eca838ea-0144-421b-add2-824025fa22da"]},{"id":"ITEM-3","itemData":{"DOI":"10.1038/s41562-019-0806-0","ISSN":"2397-3374","abstract":"The behavioral sciences underestimate the uncertainty of research findings and thus overestimate replicability. Metrologists in the physical sciences quantify all material components of uncertainty, even if some components must be quantified using non-statistical means. Behavioral science should follow suit.","author":[{"dropping-particle":"","family":"Rigdon","given":"Edward E","non-dropping-particle":"","parse-names":false,"suffix":""},{"dropping-particle":"","family":"Sarstedt","given":"Marko","non-dropping-particle":"","parse-names":false,"suffix":""},{"dropping-particle":"","family":"Becker","given":"Jan-Michael","non-dropping-particle":"","parse-names":false,"suffix":""}],"container-title":"Nature Human Behaviour","id":"ITEM-3","issue":"4","issued":{"date-parts":[["2020"]]},"page":"329-331","title":"Quantify uncertainty in behavioral research","type":"article-journal","volume":"4"},"uris":["http://www.mendeley.com/documents/?uuid=365b3ff4-35a8-4c8b-87e0-93338895ea39"]}],"mendeley":{"formattedCitation":"(Palmer and Hardaker, 2011; Rigdon et al., 2020; Saltelli, 2019)","plainTextFormattedCitation":"(Palmer and Hardaker, 2011; Rigdon et al., 2020; Saltelli, 2019)","previouslyFormattedCitation":"(Palmer and Hardaker, 2011; Rigdon et al., 2020; Saltelli, 2019)"},"properties":{"noteIndex":0},"schema":"https://github.com/citation-style-language/schema/raw/master/csl-citation.json"}</w:instrText>
      </w:r>
      <w:r>
        <w:rPr>
          <w:bCs/>
          <w:color w:val="000000"/>
          <w:lang w:val="en-GB"/>
        </w:rPr>
        <w:fldChar w:fldCharType="separate"/>
      </w:r>
      <w:r>
        <w:rPr>
          <w:bCs/>
          <w:noProof/>
          <w:color w:val="000000" w:themeColor="text1"/>
          <w:lang w:val="en-GB"/>
        </w:rPr>
        <w:t>(Palmer and Hardaker, 2011; Rigdon et al., 2020; Saltelli, 2019)</w:t>
      </w:r>
      <w:r>
        <w:rPr>
          <w:bCs/>
          <w:color w:val="000000"/>
          <w:lang w:val="en-GB"/>
        </w:rPr>
        <w:fldChar w:fldCharType="end"/>
      </w:r>
      <w:r>
        <w:rPr>
          <w:bCs/>
          <w:color w:val="000000" w:themeColor="text1"/>
          <w:lang w:val="en-GB"/>
        </w:rPr>
        <w:t>. Despite similarities in descriptions of model-related uncertainty</w:t>
      </w:r>
      <w:r w:rsidR="00BD4033">
        <w:rPr>
          <w:bCs/>
          <w:color w:val="000000" w:themeColor="text1"/>
          <w:lang w:val="en-GB"/>
        </w:rPr>
        <w:t xml:space="preserve"> </w:t>
      </w:r>
      <w:r>
        <w:rPr>
          <w:lang w:val="en-GB"/>
        </w:rPr>
        <w:fldChar w:fldCharType="begin" w:fldLock="1"/>
      </w:r>
      <w:r>
        <w:rPr>
          <w:bCs/>
          <w:color w:val="000000"/>
          <w:lang w:val="en-GB"/>
        </w:rPr>
        <w:instrText>ADDIN CSL_CITATION {"citationItems":[{"id":"ITEM-1","itemData":{"DOI":"10.1098/rsta.2020.0071","ISBN":"0000000186612","ISSN":"14712962","PMID":"33775141","abstract":"Many computer models possess high-dimensional input spaces and substantial computational time to produce a single model evaluation. Although such models are often 'deterministic', these models suffer from a wide range of uncertainties. We argue that uncertainty quantification is crucial for computer model validation and reproducibility. We present a statistical framework, termed history matching, for performing global parameter search by comparing model output to the observed data. We employ Gaussian process (GP) emulators to produce fast predictions about model behaviour at the arbitrary input parameter settings allowing output uncertainty distributions to be calculated. History matching identifies sets of input parameters that give rise to acceptable matches between observed data and model output given our representation of uncertainties. Modellers could proceed by simulating computer models' outputs of interest at these identified parameter settings and producing a range of predictions. The variability in model results is crucial for inter-model comparison as well as model development. We illustrate the performance of emulation and history matching on a simple one-dimensional toy model and in application to a climate model. This article is part of the theme issue 'Reliability and reproducibility in computational science: implementing verification, validation and uncertainty quantification in silico'.","author":[{"dropping-particle":"","family":"Volodina","given":"Victoria","non-dropping-particle":"","parse-names":false,"suffix":""},{"dropping-particle":"","family":"Challenor","given":"Peter","non-dropping-particle":"","parse-names":false,"suffix":""}],"container-title":"Philosophical transactions. Series A, Mathematical, physical, and engineering sciences","id":"ITEM-1","issued":{"date-parts":[["2021"]]},"page":"20200071","title":"The importance of uncertainty quantification in model reproducibility","type":"article-journal","volume":"379"},"uris":["http://www.mendeley.com/documents/?uuid=0bddc6a4-f6bc-4a9d-824e-719d6390314c"]},{"id":"ITEM-2","itemData":{"DOI":"10.1016/j.ecolmodel.2016.10.007","ISSN":"03043800","abstract":"The projections of species distribution models (SDMs) have provided critical knowledge for conservation planning under climate change in the Republic of Korea. However, uncertainty about the SDM projections has been criticized as a major challenge to reliable projections. The present research investigated uncertainty among competing models (Model uncertainty) and uncertainty of future climate conditions (climate uncertainty) driving from different GCMs and CO2 emission scenarios in predicting the future distributions of plants. For this purpose, using nine single-model algorithms and the pre-evaluation weighted ensemble method, we modeled the geographical distributions of Silver Magnolia (Machilus thunbergii Siebold &amp; Zucc.), a warm-adapted evergreen broadleaved tree; furthermore, we predicted its future distributions under 20 climate change scenarios (5 global circulation models (GCMs) × 4 CO2 emission scenarios (RCPs)). The results showed a great variation in the accuracies of nine single-model projections: the mean AUC values of nine single-models ranged from 0.764 (SER) to 0.970 (RF), and the mean TSS ranged from 0.529 (SRE) to 0.852 (RF). RF (mean AUC = 0.970, mean TSS = 0.852) and the ensemble forecast (AUC = 0.968, TSS = 0.804) showed the highest predictive power, while SRE showed the lowest. The future distributions of Silver Magnolia projected with the ensemble SDM clearly varied according to GCMs and RCPs. The twenty climate scenarios produced twenty different projections of the magnolia prospective distribution. GCMs commonly projected the maximum range expansion under RCP 8.5 in 2050 and 2070, but CO2 emission scenarios explaining the minimum expansions differed according to GCMs. In conclusion, our results show that GCMs, CO2 emission scenarios and SDM algorithms produce considerable variations in the SDM projections. Therefore, this research suggests that understanding of model and climate uncertainties is critical for an effective conservation planning in forest management under climate change on the Korean Peninsula.","author":[{"dropping-particle":"","family":"Koo","given":"Kyung Ah","non-dropping-particle":"","parse-names":false,"suffix":""},{"dropping-particle":"","family":"Park","given":"Seon Uk","non-dropping-particle":"","parse-names":false,"suffix":""},{"dropping-particle":"","family":"Kong","given":"Woo-Seok","non-dropping-particle":"","parse-names":false,"suffix":""},{"dropping-particle":"","family":"Hong","given":"Seungbum","non-dropping-particle":"","parse-names":false,"suffix":""},{"dropping-particle":"","family":"Jang","given":"Inyoung","non-dropping-particle":"","parse-names":false,"suffix":""},{"dropping-particle":"","family":"Seo","given":"Changwan","non-dropping-particle":"","parse-names":false,"suffix":""}],"container-title":"Ecological Modelling","id":"ITEM-2","issued":{"date-parts":[["2017"]]},"page":"17-27","publisher":"Elsevier B.V.","title":"Potential climate change effects on tree distributions in the Korean Peninsula: Understanding model &amp;amp; climate uncertainties","type":"article-journal","volume":"353"},"uris":["http://www.mendeley.com/documents/?uuid=5a3e704c-eed3-41b9-91b4-769ffb1ec170"]},{"id":"ITEM-3","itemData":{"DOI":"10.1890/1051-0761(2002)012[0618:ATATOU]2.0.CO;2","ISSN":"10510761","abstract":"Uncertainty is pervasive in ecology where the difficulties of dealing with sources of uncertainty are exacerbated by variation in the system itself. Attempts at classifying uncertainty in ecology have, for the most part, focused exclusively on epistemic uncertainty. In this paper we classify uncertainty into two main categories: epistemic uncertainty (uncertainty in determinate facts) and linguistic uncertainty (uncertainty in language). We provide a classification of sources of uncertainty under the two main categories and demonstrate how each impacts on applications in ecology and conservation biology. In particular, we demonstrate the importance of recognizing the effect of linguistic uncertainty, in addition to epistemic uncertainty, in ecological applications. The significance to ecology and conservation biology of developing a clear understanding of the various types of uncertainty, how they arise and how they might best be dealt with is highlighted. Finally, we discuss the various general strategies for dealing with each type of uncertainty and offer suggestions for treating compounding uncertainty from a range of sources.","author":[{"dropping-particle":"","family":"Regan","given":"Helen M.","non-dropping-particle":"","parse-names":false,"suffix":""},{"dropping-particle":"","family":"Colyvan","given":"Mark","non-dropping-particle":"","parse-names":false,"suffix":""},{"dropping-particle":"","family":"Burgman","given":"Mark A.","non-dropping-particle":"","parse-names":false,"suffix":""}],"container-title":"Ecological Applications","id":"ITEM-3","issue":"2","issued":{"date-parts":[["2002"]]},"page":"618-628","title":"A taxonomy and treatment of uncertainty for ecology and conservation biology","type":"article-journal","volume":"12"},"uris":["http://www.mendeley.com/documents/?uuid=3335019c-e018-44b9-a070-44e5a7ec9cc2"]},{"id":"ITEM-4","itemData":{"DOI":"10.1016/j.cirpj.2021.03.004","ISSN":"17555817","abstract":"Engineering systems must function effectively whilst maintaining reliability in service. Predicting maintenance costs and asset availability raises varying degrees of uncertainty from multiple sources. Previous reviews in this domain have assessed cost uncertainty and estimation for the entire life cycle. This paper presents a systematic review to investigate existing methodologies and challenges in uncertainty quantification, aggregation and forecasting for modern engineering systems through their in-service life. Approaches to forecast uncertainty here are hindered chiefly by data quality of available data, experience and knowledge. A total of 107 papers were analysed to answer three research questions based on the scope, through which two core research gaps were identified. An integrated combination of identified approaches will enhance rigour in uncertainty assessment and forecasting. This review contributes a systematic identification and assessment of current practices in uncertainty quantification and scientific methodologies to quantify, aggregate and forecast quantitative and qualitative uncertainties to better understand their impact on cost and availability to aid decision making throughout the in-service phase.","author":[{"dropping-particle":"","family":"Grenyer","given":"Alex","non-dropping-particle":"","parse-names":false,"suffix":""},{"dropping-particle":"","family":"Erkoyuncu","given":"John A.","non-dropping-particle":"","parse-names":false,"suffix":""},{"dropping-particle":"","family":"Zhao","given":"Yifan","non-dropping-particle":"","parse-names":false,"suffix":""},{"dropping-particle":"","family":"Roy","given":"Rajkumar","non-dropping-particle":"","parse-names":false,"suffix":""}],"container-title":"CIRP Journal of Manufacturing Science and Technology","id":"ITEM-4","issued":{"date-parts":[["2021"]]},"page":"188-208","publisher":"CIRP","title":"A systematic review of multivariate uncertainty quantification for engineering systems","type":"article-journal","volume":"33"},"uris":["http://www.mendeley.com/documents/?uuid=8b7ea646-ea9e-4a06-8633-b9748234ae14"]}],"mendeley":{"formattedCitation":"(Grenyer et al., 2021; Koo et al., 2017; Regan et al., 2002; Volodina and Challenor, 2021)","plainTextFormattedCitation":"(Grenyer et al., 2021; Koo et al., 2017; Regan et al., 2002; Volodina and Challenor, 2021)","previouslyFormattedCitation":"(Grenyer et al., 2021; Koo et al., 2017; Regan et al., 2002; Volodina and Challenor, 2021)"},"properties":{"noteIndex":0},"schema":"https://github.com/citation-style-language/schema/raw/master/csl-citation.json"}</w:instrText>
      </w:r>
      <w:r>
        <w:rPr>
          <w:bCs/>
          <w:color w:val="000000"/>
          <w:lang w:val="en-GB"/>
        </w:rPr>
        <w:fldChar w:fldCharType="separate"/>
      </w:r>
      <w:r>
        <w:rPr>
          <w:bCs/>
          <w:noProof/>
          <w:color w:val="000000" w:themeColor="text1"/>
          <w:lang w:val="en-GB"/>
        </w:rPr>
        <w:t>(Grenyer et al., 2021; Koo et al., 2017; Regan et al., 2002; Volodina and Challenor, 2021)</w:t>
      </w:r>
      <w:r>
        <w:rPr>
          <w:bCs/>
          <w:color w:val="000000"/>
          <w:lang w:val="en-GB"/>
        </w:rPr>
        <w:fldChar w:fldCharType="end"/>
      </w:r>
      <w:r>
        <w:rPr>
          <w:bCs/>
          <w:color w:val="000000" w:themeColor="text1"/>
          <w:lang w:val="en-GB"/>
        </w:rPr>
        <w:t>, a fully coherent picture has not emerged and different papers use different taxonomies of uncertainty and focus on different sources. There have been several calls for more consideration of uncertainty from specific fields or pairs of fields</w:t>
      </w:r>
      <w:r w:rsidR="00BD4033">
        <w:rPr>
          <w:bCs/>
          <w:color w:val="000000" w:themeColor="text1"/>
          <w:lang w:val="en-GB"/>
        </w:rPr>
        <w:t xml:space="preserve"> </w:t>
      </w:r>
      <w:r>
        <w:rPr>
          <w:lang w:val="en-GB"/>
        </w:rPr>
        <w:fldChar w:fldCharType="begin" w:fldLock="1"/>
      </w:r>
      <w:r>
        <w:rPr>
          <w:bCs/>
          <w:color w:val="000000"/>
          <w:lang w:val="en-GB"/>
        </w:rPr>
        <w:instrText>ADDIN CSL_CITATION {"citationItems":[{"id":"ITEM-1","itemData":{"DOI":"10.1098/rsta.2020.0071","ISBN":"0000000186612","ISSN":"14712962","PMID":"33775141","abstract":"Many computer models possess high-dimensional input spaces and substantial computational time to produce a single model evaluation. Although such models are often 'deterministic', these models suffer from a wide range of uncertainties. We argue that uncertainty quantification is crucial for computer model validation and reproducibility. We present a statistical framework, termed history matching, for performing global parameter search by comparing model output to the observed data. We employ Gaussian process (GP) emulators to produce fast predictions about model behaviour at the arbitrary input parameter settings allowing output uncertainty distributions to be calculated. History matching identifies sets of input parameters that give rise to acceptable matches between observed data and model output given our representation of uncertainties. Modellers could proceed by simulating computer models' outputs of interest at these identified parameter settings and producing a range of predictions. The variability in model results is crucial for inter-model comparison as well as model development. We illustrate the performance of emulation and history matching on a simple one-dimensional toy model and in application to a climate model. This article is part of the theme issue 'Reliability and reproducibility in computational science: implementing verification, validation and uncertainty quantification in silico'.","author":[{"dropping-particle":"","family":"Volodina","given":"Victoria","non-dropping-particle":"","parse-names":false,"suffix":""},{"dropping-particle":"","family":"Challenor","given":"Peter","non-dropping-particle":"","parse-names":false,"suffix":""}],"container-title":"Philosophical transactions. Series A, Mathematical, physical, and engineering sciences","id":"ITEM-1","issued":{"date-parts":[["2021"]]},"page":"20200071","title":"The importance of uncertainty quantification in model reproducibility","type":"article-journal","volume":"379"},"uris":["http://www.mendeley.com/documents/?uuid=0bddc6a4-f6bc-4a9d-824e-719d6390314c"]},{"id":"ITEM-2","itemData":{"DOI":"10.1038/s41467-019-11865-8","ISSN":"20411723","PMID":"31455789","author":[{"dropping-particle":"","family":"Saltelli","given":"Andrea","non-dropping-particle":"","parse-names":false,"suffix":""}],"container-title":"Nature Communications","id":"ITEM-2","issued":{"date-parts":[["2019"]]},"page":"1-3","publisher":"Springer US","title":"A short comment on statistical versus mathematical modelling","type":"article-journal","volume":"10"},"uris":["http://www.mendeley.com/documents/?uuid=eca838ea-0144-421b-add2-824025fa22da"]},{"id":"ITEM-3","itemData":{"DOI":"10.1111/1365-2664.12887","ISSN":"13652664","abstract":"Applied ecologists often face uncertainty that hinders effective decision-making. Common traps that may catch the unwary are: ignoring uncertainty, acknowledging uncertainty but ploughing on, focussing on trivial uncertainties, believing your models, and unclear objectives. We integrate research insights and examples from a wide range of applied ecological fields to illustrate advances that are generally underused, but could facilitate ecologists’ ability to plan and execute research to support management. Recommended approaches to avoid uncertainty traps are: embracing models, using decision theory, using models more effectively, thinking experimentally, and being realistic about uncertainty. Synthesis and applications. Applied ecologists can become more effective at informing management by using approaches that explicitly take account of uncertainty.","author":[{"dropping-particle":"","family":"Milner-Gulland","given":"E. J.","non-dropping-particle":"","parse-names":false,"suffix":""},{"dropping-particle":"","family":"Shea","given":"Katriona","non-dropping-particle":"","parse-names":false,"suffix":""}],"container-title":"Journal of Applied Ecology","id":"ITEM-3","issue":"6","issued":{"date-parts":[["2017"]]},"page":"2063-2068","title":"Embracing uncertainty in applied ecology","type":"article-journal","volume":"54"},"uris":["http://www.mendeley.com/documents/?uuid=ed050f31-6b85-4385-8ba4-d3235a89cddf"]},{"id":"ITEM-4","itemData":{"DOI":"10.1038/s41562-019-0806-0","ISSN":"2397-3374","abstract":"The behavioral sciences underestimate the uncertainty of research findings and thus overestimate replicability. Metrologists in the physical sciences quantify all material components of uncertainty, even if some components must be quantified using non-statistical means. Behavioral science should follow suit.","author":[{"dropping-particle":"","family":"Rigdon","given":"Edward E","non-dropping-particle":"","parse-names":false,"suffix":""},{"dropping-particle":"","family":"Sarstedt","given":"Marko","non-dropping-particle":"","parse-names":false,"suffix":""},{"dropping-particle":"","family":"Becker","given":"Jan-Michael","non-dropping-particle":"","parse-names":false,"suffix":""}],"container-title":"Nature Human Behaviour","id":"ITEM-4","issue":"4","issued":{"date-parts":[["2020"]]},"page":"329-331","title":"Quantify uncertainty in behavioral research","type":"article-journal","volume":"4"},"uris":["http://www.mendeley.com/documents/?uuid=365b3ff4-35a8-4c8b-87e0-93338895ea39"]}],"mendeley":{"formattedCitation":"(Milner-Gulland and Shea, 2017; Rigdon et al., 2020; Saltelli, 2019; Volodina and Challenor, 2021)","plainTextFormattedCitation":"(Milner-Gulland and Shea, 2017; Rigdon et al., 2020; Saltelli, 2019; Volodina and Challenor, 2021)","previouslyFormattedCitation":"(Milner-Gulland and Shea, 2017; Rigdon et al., 2020; Saltelli, 2019; Volodina and Challenor, 2021)"},"properties":{"noteIndex":0},"schema":"https://github.com/citation-style-language/schema/raw/master/csl-citation.json"}</w:instrText>
      </w:r>
      <w:r>
        <w:rPr>
          <w:bCs/>
          <w:color w:val="000000"/>
          <w:lang w:val="en-GB"/>
        </w:rPr>
        <w:fldChar w:fldCharType="separate"/>
      </w:r>
      <w:r w:rsidR="00BD4033" w:rsidRPr="00BD4033">
        <w:rPr>
          <w:bCs/>
          <w:noProof/>
          <w:color w:val="000000" w:themeColor="text1"/>
          <w:lang w:val="en-GB"/>
        </w:rPr>
        <w:t>(Milner-Gulland and Shea, 2017; Rigdon et al., 2020; Saltelli, 2019; Volodina and Challenor, 2021)</w:t>
      </w:r>
      <w:r>
        <w:rPr>
          <w:bCs/>
          <w:color w:val="000000"/>
          <w:lang w:val="en-GB"/>
        </w:rPr>
        <w:fldChar w:fldCharType="end"/>
      </w:r>
      <w:r>
        <w:rPr>
          <w:bCs/>
          <w:color w:val="000000" w:themeColor="text1"/>
          <w:lang w:val="en-GB"/>
        </w:rPr>
        <w:t xml:space="preserve">. But these have yet to be answered comprehensively. Other fields, such as </w:t>
      </w:r>
      <w:r w:rsidR="00590C49">
        <w:rPr>
          <w:bCs/>
          <w:color w:val="000000" w:themeColor="text1"/>
          <w:lang w:val="en-GB"/>
        </w:rPr>
        <w:t>E</w:t>
      </w:r>
      <w:r>
        <w:rPr>
          <w:bCs/>
          <w:color w:val="000000" w:themeColor="text1"/>
          <w:lang w:val="en-GB"/>
        </w:rPr>
        <w:t xml:space="preserve">ngineering and </w:t>
      </w:r>
      <w:r w:rsidR="00590C49">
        <w:rPr>
          <w:bCs/>
          <w:color w:val="000000" w:themeColor="text1"/>
          <w:lang w:val="en-GB"/>
        </w:rPr>
        <w:lastRenderedPageBreak/>
        <w:t>M</w:t>
      </w:r>
      <w:r>
        <w:rPr>
          <w:bCs/>
          <w:color w:val="000000" w:themeColor="text1"/>
          <w:lang w:val="en-GB"/>
        </w:rPr>
        <w:t xml:space="preserve">eteorology, have well-established </w:t>
      </w:r>
      <w:r w:rsidR="007F1970">
        <w:rPr>
          <w:bCs/>
          <w:color w:val="000000" w:themeColor="text1"/>
          <w:lang w:val="en-GB"/>
        </w:rPr>
        <w:t xml:space="preserve">practices to deal with </w:t>
      </w:r>
      <w:r>
        <w:rPr>
          <w:bCs/>
          <w:color w:val="000000" w:themeColor="text1"/>
          <w:lang w:val="en-GB"/>
        </w:rPr>
        <w:t xml:space="preserve">uncertainty. There are also some cross-disciplinary standards for specific uncertainty types, for example measurement uncertainty through the International Standards Organisation, but even these standards can be too specific to be broadly applicable for cases of complex models </w:t>
      </w:r>
      <w:r>
        <w:rPr>
          <w:bCs/>
          <w:color w:val="000000" w:themeColor="text1"/>
          <w:lang w:val="en-GB"/>
        </w:rPr>
        <w:fldChar w:fldCharType="begin" w:fldLock="1"/>
      </w:r>
      <w:r>
        <w:rPr>
          <w:bCs/>
          <w:color w:val="000000" w:themeColor="text1"/>
          <w:lang w:val="en-GB"/>
        </w:rPr>
        <w:instrText>ADDIN CSL_CITATION {"citationItems":[{"id":"ITEM-1","itemData":{"DOI":"10.1016/j.cirpj.2021.03.004","ISSN":"17555817","abstract":"Engineering systems must function effectively whilst maintaining reliability in service. Predicting maintenance costs and asset availability raises varying degrees of uncertainty from multiple sources. Previous reviews in this domain have assessed cost uncertainty and estimation for the entire life cycle. This paper presents a systematic review to investigate existing methodologies and challenges in uncertainty quantification, aggregation and forecasting for modern engineering systems through their in-service life. Approaches to forecast uncertainty here are hindered chiefly by data quality of available data, experience and knowledge. A total of 107 papers were analysed to answer three research questions based on the scope, through which two core research gaps were identified. An integrated combination of identified approaches will enhance rigour in uncertainty assessment and forecasting. This review contributes a systematic identification and assessment of current practices in uncertainty quantification and scientific methodologies to quantify, aggregate and forecast quantitative and qualitative uncertainties to better understand their impact on cost and availability to aid decision making throughout the in-service phase.","author":[{"dropping-particle":"","family":"Grenyer","given":"Alex","non-dropping-particle":"","parse-names":false,"suffix":""},{"dropping-particle":"","family":"Erkoyuncu","given":"John A.","non-dropping-particle":"","parse-names":false,"suffix":""},{"dropping-particle":"","family":"Zhao","given":"Yifan","non-dropping-particle":"","parse-names":false,"suffix":""},{"dropping-particle":"","family":"Roy","given":"Rajkumar","non-dropping-particle":"","parse-names":false,"suffix":""}],"container-title":"CIRP Journal of Manufacturing Science and Technology","id":"ITEM-1","issued":{"date-parts":[["2021"]]},"page":"188-208","publisher":"CIRP","title":"A systematic review of multivariate uncertainty quantification for engineering systems","type":"article-journal","volume":"33"},"uris":["http://www.mendeley.com/documents/?uuid=8b7ea646-ea9e-4a06-8633-b9748234ae14"]}],"mendeley":{"formattedCitation":"(Grenyer et al., 2021)","plainTextFormattedCitation":"(Grenyer et al., 2021)","previouslyFormattedCitation":"(Grenyer et al., 2021)"},"properties":{"noteIndex":0},"schema":"https://github.com/citation-style-language/schema/raw/master/csl-citation.json"}</w:instrText>
      </w:r>
      <w:r>
        <w:rPr>
          <w:bCs/>
          <w:color w:val="000000" w:themeColor="text1"/>
          <w:lang w:val="en-GB"/>
        </w:rPr>
        <w:fldChar w:fldCharType="separate"/>
      </w:r>
      <w:r>
        <w:rPr>
          <w:bCs/>
          <w:noProof/>
          <w:color w:val="000000" w:themeColor="text1"/>
          <w:lang w:val="en-GB"/>
        </w:rPr>
        <w:t>(Grenyer et al., 2021)</w:t>
      </w:r>
      <w:r>
        <w:rPr>
          <w:bCs/>
          <w:color w:val="000000" w:themeColor="text1"/>
          <w:lang w:val="en-GB"/>
        </w:rPr>
        <w:fldChar w:fldCharType="end"/>
      </w:r>
      <w:r>
        <w:rPr>
          <w:bCs/>
          <w:color w:val="000000" w:themeColor="text1"/>
          <w:lang w:val="en-GB"/>
        </w:rPr>
        <w:t>. This inconsistency can lead to confusion as to the true level of uncertainty in results and hinder interpretability across fields.</w:t>
      </w:r>
    </w:p>
    <w:p w14:paraId="260560DE" w14:textId="77777777" w:rsidR="00644FDF" w:rsidRDefault="00C732FA">
      <w:pPr>
        <w:rPr>
          <w:b/>
          <w:lang w:val="en-GB"/>
        </w:rPr>
      </w:pPr>
      <w:r>
        <w:rPr>
          <w:b/>
          <w:lang w:val="en-GB"/>
        </w:rPr>
        <w:t xml:space="preserve"> </w:t>
      </w:r>
    </w:p>
    <w:p w14:paraId="3761E251" w14:textId="133C7080" w:rsidR="00644FDF" w:rsidRDefault="00C732FA">
      <w:pPr>
        <w:rPr>
          <w:bCs/>
          <w:color w:val="000000" w:themeColor="text1"/>
          <w:lang w:val="en-GB"/>
        </w:rPr>
      </w:pPr>
      <w:r>
        <w:rPr>
          <w:bCs/>
          <w:color w:val="000000" w:themeColor="text1"/>
          <w:lang w:val="en-GB"/>
        </w:rPr>
        <w:t>With quantitative science now highly influential in the public sphere</w:t>
      </w:r>
      <w:r w:rsidR="00BD4033">
        <w:rPr>
          <w:bCs/>
          <w:color w:val="000000" w:themeColor="text1"/>
          <w:lang w:val="en-GB"/>
        </w:rPr>
        <w:t xml:space="preserve"> </w:t>
      </w:r>
      <w:r>
        <w:rPr>
          <w:lang w:val="en-GB"/>
        </w:rPr>
        <w:fldChar w:fldCharType="begin" w:fldLock="1"/>
      </w:r>
      <w:r>
        <w:rPr>
          <w:bCs/>
          <w:color w:val="000000"/>
          <w:lang w:val="en-GB"/>
        </w:rPr>
        <w:instrText>ADDIN CSL_CITATION {"citationItems":[{"id":"ITEM-1","itemData":{"DOI":"10.1098/rsta.2020.0071","ISBN":"0000000186612","ISSN":"14712962","PMID":"33775141","abstract":"Many computer models possess high-dimensional input spaces and substantial computational time to produce a single model evaluation. Although such models are often 'deterministic', these models suffer from a wide range of uncertainties. We argue that uncertainty quantification is crucial for computer model validation and reproducibility. We present a statistical framework, termed history matching, for performing global parameter search by comparing model output to the observed data. We employ Gaussian process (GP) emulators to produce fast predictions about model behaviour at the arbitrary input parameter settings allowing output uncertainty distributions to be calculated. History matching identifies sets of input parameters that give rise to acceptable matches between observed data and model output given our representation of uncertainties. Modellers could proceed by simulating computer models' outputs of interest at these identified parameter settings and producing a range of predictions. The variability in model results is crucial for inter-model comparison as well as model development. We illustrate the performance of emulation and history matching on a simple one-dimensional toy model and in application to a climate model. This article is part of the theme issue 'Reliability and reproducibility in computational science: implementing verification, validation and uncertainty quantification in silico'.","author":[{"dropping-particle":"","family":"Volodina","given":"Victoria","non-dropping-particle":"","parse-names":false,"suffix":""},{"dropping-particle":"","family":"Challenor","given":"Peter","non-dropping-particle":"","parse-names":false,"suffix":""}],"container-title":"Philosophical transactions. Series A, Mathematical, physical, and engineering sciences","id":"ITEM-1","issued":{"date-parts":[["2021"]]},"page":"20200071","title":"The importance of uncertainty quantification in model reproducibility","type":"article-journal","volume":"379"},"uris":["http://www.mendeley.com/documents/?uuid=0bddc6a4-f6bc-4a9d-824e-719d6390314c"]}],"mendeley":{"formattedCitation":"(Volodina and Challenor, 2021)","plainTextFormattedCitation":"(Volodina and Challenor, 2021)","previouslyFormattedCitation":"(Volodina and Challenor, 2021)"},"properties":{"noteIndex":0},"schema":"https://github.com/citation-style-language/schema/raw/master/csl-citation.json"}</w:instrText>
      </w:r>
      <w:r>
        <w:rPr>
          <w:bCs/>
          <w:color w:val="000000"/>
          <w:lang w:val="en-GB"/>
        </w:rPr>
        <w:fldChar w:fldCharType="separate"/>
      </w:r>
      <w:r>
        <w:rPr>
          <w:bCs/>
          <w:noProof/>
          <w:color w:val="000000" w:themeColor="text1"/>
          <w:lang w:val="en-GB"/>
        </w:rPr>
        <w:t>(Volodina and Challenor, 2021)</w:t>
      </w:r>
      <w:r>
        <w:rPr>
          <w:bCs/>
          <w:color w:val="000000"/>
          <w:lang w:val="en-GB"/>
        </w:rPr>
        <w:fldChar w:fldCharType="end"/>
      </w:r>
      <w:r>
        <w:rPr>
          <w:bCs/>
          <w:color w:val="000000" w:themeColor="text1"/>
          <w:lang w:val="en-GB"/>
        </w:rPr>
        <w:t xml:space="preserve"> and the results from models translating into action, we must support our conclusions with sufficient rigour. Incomplete consideration of model uncertainties can lead to false conclusions with real world impacts and an erosion of public trust in science</w:t>
      </w:r>
      <w:r w:rsidR="00BD4033">
        <w:rPr>
          <w:bCs/>
          <w:color w:val="000000" w:themeColor="text1"/>
          <w:lang w:val="en-GB"/>
        </w:rPr>
        <w:t xml:space="preserve"> </w:t>
      </w:r>
      <w:r>
        <w:rPr>
          <w:lang w:val="en-GB"/>
        </w:rPr>
        <w:fldChar w:fldCharType="begin" w:fldLock="1"/>
      </w:r>
      <w:r>
        <w:rPr>
          <w:bCs/>
          <w:color w:val="000000"/>
          <w:lang w:val="en-GB"/>
        </w:rPr>
        <w:instrText>ADDIN CSL_CITATION {"citationItems":[{"id":"ITEM-1","itemData":{"DOI":"10.1111/icad.12468","ISSN":"1752-458X","abstract":"at Nature for nine months before a decision was made to not publish the exchange. We now share the comment and response from Seibold et al. 2019 as preprints to further the discussion of how best to model and interpret population and biodiversity change. For Seibold et al.'s reply to our response, please see: Insights from regional and short-term biodiversity monitoring datasets are valuable. A Reply to Daskalova et al. 2020 EcoEvoRxiv doi:10.32942/osf.io/cg3zs https://ecoevorxiv.org/zyhf7 Summary An accumulating number of studies are reporting severe biomass, abundance and/or species richness declines of insects (Hallmann et al., 2017; Lister &amp; Garcia, 2018; Seibold et al., 2019; Sánchez-Bayo &amp; Wyckhuys, 2019). Collectively these studies aim to quantify the net change in invertebrate populations and/or community composition over time and to establish whether such changes can be attributed to anthropogenic drivers (Macgregor, analysed a dataset of arthropod biomass, abundance and species richness from forest and grassland plots in a region of Germany and report significant declines of up to 78% over the time period of 2008 to 2018 (Seibold et al., 2019). However, their analysis did not account for the confounding effects of temporal pseudoreplication of observations from the same years. We show that simply by including a year random effect in the statistical models and thereby accounting for the common conditions experienced by observations from proximal sites in the same years, four of the five reported declines become non-significant out of six tests overall. To place their estimated effect sizes and those of other recent studies of insect declines in a broader geographic context, we analysed invertebrate biomass, abundance and species richness over time from 640 time series from 1167 sites around the world. We found that the average trend across the terrestrial and freshwater realms was not significantly distinguishable from no net change. Shorter time series that are likely to be most affected by sampling error variance-such as those reported in Seibold et al. 2019-yielded the most extreme estimates of decline or increase. We suggest that the uncritical media uptake of extreme negative trends from short time series may be serving to exaggerate the speed of \"insect Armageddon\" and could eventually undermine public","author":[{"dropping-particle":"","family":"Daskalova","given":"Gergana N.","non-dropping-particle":"","parse-names":false,"suffix":""},{"dropping-particle":"","family":"Phillimore","given":"Albert B.","non-dropping-particle":"","parse-names":false,"suffix":""},{"dropping-particle":"","family":"Myers</w:instrText>
      </w:r>
      <w:r>
        <w:rPr>
          <w:rFonts w:ascii="Cambria Math" w:hAnsi="Cambria Math" w:cs="Cambria Math"/>
          <w:bCs/>
          <w:color w:val="000000"/>
          <w:lang w:val="en-GB"/>
        </w:rPr>
        <w:instrText>‐</w:instrText>
      </w:r>
      <w:r>
        <w:rPr>
          <w:bCs/>
          <w:color w:val="000000"/>
          <w:lang w:val="en-GB"/>
        </w:rPr>
        <w:instrText>Smith","given":"Isla H.","non-dropping-particle":"","parse-names":false,"suffix":""}],"container-title":"Insect Conservation and Diversity","id":"ITEM-1","issue":"1","issued":{"date-parts":[["2021"]]},"page":"149-154","title":" Accounting for year effects and sampling error in temporal analyses of invertebrate population and biodiversity change: a comment on Seibold et al . 2019 ","type":"article-journal","volume":"14"},"uris":["http://www.mendeley.com/documents/?uuid=a87c0427-6dd8-453b-9175-409113a86749"]},{"id":"ITEM-2","itemData":{"DOI":"10.1126/sciadv.abd4563","ISSN":"23752548","PMID":"32978142","abstract":"While scientific uncertainty always invites the risk of politicization and raises questions of how to communicate about science, this risk is magnified for COVID-19. The limited data and accelerated research timelines mean that some prominent models or findings inevitably will be overturned or retracted. In this research, we examine the attitudes of more than 6000 Americans across five different survey experiments to understand how the cue giver and cue given about scientific uncertainty regarding COVID-19 affect public trust in science and support for science-based policy. Criticism from Democratic political elites undermines trust more than criticism from Republicans. Emphasizing uncertainty in projections can erode public trust in some contexts. Downplaying uncertainty can raise support in the short term, but reversals in projections may temper these effects or even reduce scientific trust. Careful science communication is critical to maintaining public support for science-based policies as the scientific consensus shifts over time.","author":[{"dropping-particle":"","family":"Kreps","given":"S. E.","non-dropping-particle":"","parse-names":false,"suffix":""},{"dropping-particle":"","family":"Kriner","given":"D. L.","non-dropping-particle":"","parse-names":false,"suffix":""}],"container-title":"Science Advances","id":"ITEM-2","issue":"43","issued":{"date-parts":[["2020"]]},"page":"eabd4563","title":"Model uncertainty, political contestation, and public trust in science: Evidence from the COVID-19 pandemic","type":"article-journal","volume":"6"},"uris":["http://www.mendeley.com/documents/?uuid=60206644-bb4f-4cd5-9224-2c6ff26ae11b"]},{"id":"ITEM-3","itemData":{"DOI":"10.1177/0272989X21990391","ISSN":"1552681X","abstract":"Mathematical modeling has played a prominent and necessary role in the current coronavirus disease 2019 (COVID-19) pandemic, with an increasing number of models being developed to track and project the spread of the disease, as well as major decisions being made based on the results of these studies. A proliferation of models, often diverging widely in their projections, has been accompanied by criticism of the validity of modeled analyses and uncertainty as to when and to what extent results can be trusted. Drawing on examples from COVID-19 and other infectious diseases of global importance, we review key limitations of mathematical modeling as a tool for interpreting empirical data and informing individual and public decision making. We present several</w:instrText>
      </w:r>
      <w:r w:rsidRPr="001A5DAF">
        <w:rPr>
          <w:bCs/>
          <w:color w:val="000000"/>
          <w:lang w:val="en-GB"/>
        </w:rPr>
        <w:instrText xml:space="preserve"> approaches that have been used to strengthen the validity of inferences drawn from these analyses, approaches that will enable better decision making in the current COVID-19 crisis and beyond.","author":[{"dropping-particle":"","family":"James","given":"Lyndon P.","non-dropping-particle":"","parse-names":false,"suffix":""},{"dropping-particle":"","family":"Salomon","given":"Joshua A.","non-dropping-particle":"","parse-names":false,"suffix":""},{"dropping-particle":"","family":"Buckee","given":"Caroline O.","non-dropping-particle":"","parse-names":false,"suffix":""},{"dropping-particle":"","family":"Menzies","given":"Nicolas A.","non-dropping-particle":"","parse-names":false,"suffix":""}],"container-title":"Medical Decision Making","id":"ITEM-3","issue":"4","issued":{"date-parts":[["2021"]]},"page":"379-385","title":"The Use and Misuse of Mathematical Modeling for Infectious Disease Policymaking: Lessons for the COVID-19 Pandemic","type":"article-journal","volume":"41"},"uris":["http://www.mendeley.com/documents/?uuid=445d4df7-d067-4648-aa86-1daba82a4347"]}],"mendeley":{"formattedCitation":"(Daskalova et al., 2021; James et al., 2021; Kreps and Kriner, 2020)","plainTextFormattedCitation":"(Daskalova et al., 2021; James et al., 2021; Kreps and Kriner, 2020)","previouslyFormattedCitation":"(Daskalova et al., 2021; James et al., 2021; Kreps and Kriner, 2020)"},"properties":{"noteIndex":0},"schema":"https://github.com/citation-style-language/schema/raw/master/csl-citation.json"}</w:instrText>
      </w:r>
      <w:r>
        <w:rPr>
          <w:bCs/>
          <w:color w:val="000000"/>
          <w:lang w:val="en-GB"/>
        </w:rPr>
        <w:fldChar w:fldCharType="separate"/>
      </w:r>
      <w:r w:rsidRPr="001A5DAF">
        <w:rPr>
          <w:bCs/>
          <w:noProof/>
          <w:color w:val="000000" w:themeColor="text1"/>
          <w:lang w:val="en-GB"/>
        </w:rPr>
        <w:t>(Daskalova et al., 2021; James et al., 2021; Kreps and Kriner, 2020)</w:t>
      </w:r>
      <w:r>
        <w:rPr>
          <w:bCs/>
          <w:color w:val="000000"/>
          <w:lang w:val="en-GB"/>
        </w:rPr>
        <w:fldChar w:fldCharType="end"/>
      </w:r>
      <w:r w:rsidRPr="001A5DAF">
        <w:rPr>
          <w:bCs/>
          <w:color w:val="000000" w:themeColor="text1"/>
          <w:lang w:val="en-GB"/>
        </w:rPr>
        <w:t>. In 2019, Seibold et al</w:t>
      </w:r>
      <w:r w:rsidR="00BD4033">
        <w:rPr>
          <w:bCs/>
          <w:color w:val="000000" w:themeColor="text1"/>
          <w:lang w:val="nb-NO"/>
        </w:rPr>
        <w:t xml:space="preserve"> </w:t>
      </w:r>
      <w:r>
        <w:rPr>
          <w:lang w:val="en-GB"/>
        </w:rPr>
        <w:fldChar w:fldCharType="begin" w:fldLock="1"/>
      </w:r>
      <w:r w:rsidRPr="001A5DAF">
        <w:rPr>
          <w:bCs/>
          <w:color w:val="000000"/>
          <w:lang w:val="en-GB"/>
        </w:rPr>
        <w:instrText>ADDIN CSL_CITATION {"citationItems":[{"id":"ITEM-1","itemData":{"DOI":"10.1038/s41586-019-1684-3","ISBN":"4158601916","ISSN":"14764687","PMID":"31666721","abstract":"Recent reports of local extinctions of arthropod species1, and of massive declines in arthropod biomass2, point to land-use intensification as a major driver of decreasing biodiversity. However, to our knowledge, there are no multisite time series of arthropod occurrences across gradients of land-use intensity with which to confirm causal relationships. Moreover, it remains unclear which land-use types and arthropod groups are affected, and whether the observed declines in biomass and diversity are linked to one another. Here we analyse data from more than 1 million individual arthropods (about 2,700 species), from standardized inventories taken between 2008 and 2017 at 150 grassland and 140 forest sites in 3 regions of Germany. Overall gamma diversity in grasslands and forests decreased over time, indicating loss of species across sites and regions. In annually sampled grasslands, biomass, abundance and number of species declined by 67%, 78% and 34%, respectively. The decline was consistent across trophic levels and mainly affected rare species; its magnitude was independent of local land-use intensity. However, sites embedded in landscapes with a higher cover of agricultural land showed a stronger temporal decline. In 30 forest sites with annual inventories, biomass and species number—but</w:instrText>
      </w:r>
      <w:r>
        <w:rPr>
          <w:bCs/>
          <w:color w:val="000000"/>
          <w:lang w:val="en-GB"/>
        </w:rPr>
        <w:instrText xml:space="preserve"> not abundance—decreased by 41% and 36%, respectively. This was supported by analyses of all forest sites sampled in three-year intervals. The decline affected rare and abundant species, and trends differed across trophic levels. Our results show that there are widespread declines in arthropod biomass, abundance and the number of species across trophic levels. Arthropod declines in forests demonstrate that loss is not restricted to open habitats. Our results suggest that major drivers of arthropod decline act at larger spatial scales, and are (at least for grasslands) associated with agriculture at the landscape level. This implies that policies need to address the landscape scale to mitigate the negative effects of land-use practices.","author":[{"dropping-particle":"","family":"Seibold","given":"Sebastian","non-dropping-particle":"","parse-names":false,"suffix":""},{"dropping-particle":"","family":"Gossner","given":"Martin M.","non-dropping-particle":"","parse-names":false,"suffix":""},{"dropping-particle":"","family":"Simons","given":"Nadja K.","non-dropping-particle":"","parse-names":false,"suffix":""},{"dropping-particle":"","family":"Blüthgen","given":"Nico","non-dropping-particle":"","parse-names":false,"suffix":""},{"dropping-particle":"","family":"Müller","given":"Jörg","non-dropping-particle":"","parse-names":false,"suffix":""},{"dropping-particle":"","family":"Ambarlı","given":"Didem","non-dropping-particle":"","parse-names":false,"suffix":""},{"dropping-particle":"","family":"Ammer","given":"Christian","non-dropping-particle":"","parse-names":false,"suffix":""},{"dropping-particle":"","family":"Bauhus","given":"Jürgen","non-dropping-particle":"","parse-names":false,"suffix":""},{"dropping-particle":"","family":"Fischer","given":"Markus","non-dropping-particle":"","parse-names":false,"suffix":""},{"dropping-particle":"","family":"Habel","given":"Jan C.","non-dropping-particle":"","parse-names":false,"suffix":""},{"dropping-particle":"","family":"Linsenmair","given":"Karl Eduard","non-dropping-particle":"","parse-names":false,"suffix":""},{"dropping-particle":"","family":"Nauss","given":"Thomas","non-dropping-particle":"","parse-names":false,"suffix":""},{"dropping-particle":"","family":"Penone","given":"Caterina","non-dropping-particle":"","parse-names":false,"suffix":""},{"dropping-particle":"","family":"Prati","given":"Daniel","non-dropping-particle":"","parse-names":false,"suffix":""},{"dropping-particle":"","family":"Schall","given":"Peter","non-dropping-particle":"","parse-names":false,"suffix":""},{"dropping-particle":"","family":"Schulze","given":"Ernst Detlef","non-dropping-particle":"","parse-names":false,"suffix":""},{"dropping-particle":"","family":"Vogt","given":"Juliane","non-dropping-particle":"","parse-names":false,"suffix":""},{"dropping-particle":"","family":"Wöllauer","given":"Stephan","non-dropping-particle":"","parse-names":false,"suffix":""},{"dropping-particle":"","family":"Weisser","given":"Wolfgang W.","non-dropping-particle":"","parse-names":false,"suffix":""}],"container-title":"Nature","id":"ITEM-1","issue":"7780","issued":{"date-parts":[["2019"]]},"page":"671-674","publisher":"Springer US","title":"Arthropod decline in grasslands and forests is associated with landscape-level drivers","type":"article-journal","volume":"574"},"uris":["http://www.mendeley.com/documents/?uuid=608a47cd-d316-4cdc-8e94-f9465c0e44f0"]}],"mendeley":{"formattedCitation":"(Seibold et al., 2019)","plainTextFormattedCitation":"(Seibold et al., 2019)","previouslyFormattedCitation":"(Seibold et al., 2019)"},"properties":{"noteIndex":0},"schema":"https://github.com/citation-style-language/schema/raw/master/csl-citation.json"}</w:instrText>
      </w:r>
      <w:r>
        <w:rPr>
          <w:bCs/>
          <w:color w:val="000000"/>
          <w:lang w:val="en-GB"/>
        </w:rPr>
        <w:fldChar w:fldCharType="separate"/>
      </w:r>
      <w:r>
        <w:rPr>
          <w:bCs/>
          <w:noProof/>
          <w:color w:val="000000" w:themeColor="text1"/>
          <w:lang w:val="en-GB"/>
        </w:rPr>
        <w:t>(Seibold et al., 2019)</w:t>
      </w:r>
      <w:r>
        <w:rPr>
          <w:bCs/>
          <w:color w:val="000000"/>
          <w:lang w:val="en-GB"/>
        </w:rPr>
        <w:fldChar w:fldCharType="end"/>
      </w:r>
      <w:r>
        <w:rPr>
          <w:bCs/>
          <w:color w:val="000000" w:themeColor="text1"/>
          <w:lang w:val="en-GB"/>
        </w:rPr>
        <w:t xml:space="preserve"> reported substantial declines in insect populations in Germany. This finding was widely publicised as an ‘insect Armageddon’</w:t>
      </w:r>
      <w:r w:rsidR="00BD4033">
        <w:rPr>
          <w:bCs/>
          <w:color w:val="000000" w:themeColor="text1"/>
          <w:lang w:val="en-GB"/>
        </w:rPr>
        <w:t xml:space="preserve"> </w:t>
      </w:r>
      <w:r>
        <w:rPr>
          <w:lang w:val="en-GB"/>
        </w:rPr>
        <w:fldChar w:fldCharType="begin" w:fldLock="1"/>
      </w:r>
      <w:r>
        <w:rPr>
          <w:bCs/>
          <w:color w:val="000000"/>
          <w:lang w:val="en-GB"/>
        </w:rPr>
        <w:instrText>ADDIN CSL_CITATION {"citationItems":[{"id":"ITEM-1","itemData":{"author":[{"dropping-particle":"","family":"Jarvis","given":"Brooke","non-dropping-particle":"","parse-names":false,"suffix":""}],"container-title":"New York Times Magazine","id":"ITEM-1","issued":{"date-parts":[["2018"]]},"page":"41","title":"The Insect Apolocalypse Is Here.","type":"article-magazine"},"uris":["http://www.mendeley.com/documents/?uuid=5e33a7e8-bbc8-4800-997b-1dae38247641"]}],"mendeley":{"formattedCitation":"(Jarvis, 2018)","plainTextFormattedCitation":"(Jarvis, 2018)","previouslyFormattedCitation":"(Jarvis, 2018)"},"properties":{"noteIndex":0},"schema":"https://github.com/citation-style-language/schema/raw/master/csl-citation.json"}</w:instrText>
      </w:r>
      <w:r>
        <w:rPr>
          <w:bCs/>
          <w:color w:val="000000"/>
          <w:lang w:val="en-GB"/>
        </w:rPr>
        <w:fldChar w:fldCharType="separate"/>
      </w:r>
      <w:r>
        <w:rPr>
          <w:bCs/>
          <w:noProof/>
          <w:color w:val="000000" w:themeColor="text1"/>
          <w:lang w:val="en-GB"/>
        </w:rPr>
        <w:t>(Jarvis, 2018)</w:t>
      </w:r>
      <w:r>
        <w:rPr>
          <w:bCs/>
          <w:color w:val="000000"/>
          <w:lang w:val="en-GB"/>
        </w:rPr>
        <w:fldChar w:fldCharType="end"/>
      </w:r>
      <w:r>
        <w:rPr>
          <w:bCs/>
          <w:color w:val="000000" w:themeColor="text1"/>
          <w:lang w:val="en-GB"/>
        </w:rPr>
        <w:t xml:space="preserve">. However, recent work by </w:t>
      </w:r>
      <w:proofErr w:type="spellStart"/>
      <w:r>
        <w:rPr>
          <w:bCs/>
          <w:color w:val="000000" w:themeColor="text1"/>
          <w:lang w:val="en-GB"/>
        </w:rPr>
        <w:t>Daskalova</w:t>
      </w:r>
      <w:proofErr w:type="spellEnd"/>
      <w:r>
        <w:rPr>
          <w:bCs/>
          <w:color w:val="000000" w:themeColor="text1"/>
          <w:lang w:val="en-GB"/>
        </w:rPr>
        <w:t xml:space="preserve"> et al</w:t>
      </w:r>
      <w:r w:rsidR="00BD4033">
        <w:rPr>
          <w:bCs/>
          <w:color w:val="000000" w:themeColor="text1"/>
          <w:lang w:val="en-GB"/>
        </w:rPr>
        <w:t xml:space="preserve"> </w:t>
      </w:r>
      <w:r>
        <w:rPr>
          <w:lang w:val="en-GB"/>
        </w:rPr>
        <w:fldChar w:fldCharType="begin" w:fldLock="1"/>
      </w:r>
      <w:r>
        <w:rPr>
          <w:bCs/>
          <w:color w:val="000000"/>
          <w:lang w:val="en-GB"/>
        </w:rPr>
        <w:instrText>ADDIN CSL_CITATION {"citationItems":[{"id":"ITEM-1","itemData":{"DOI":"10.1111/icad.12468","ISSN":"1752-458X","abstract":"at Nature for nine months before a decision was made to not publish the exchange. We now share the comment and response from Seibold et al. 2019 as preprints to further the discussion of how best to model and interpret population and biodiversity change. For Seibold et al.'s reply to our response, please see: Insights from regional and short-term biodiversity monitoring datasets are valuable. A Reply to Daskalova et al. 2020 EcoEvoRxiv doi:10.32942/osf.io/cg3zs https://ecoevorxiv.org/zyhf7 Summary An accumulating number of studies are reporting severe biomass, abundance and/or species richness declines of insects (Hallmann et al., 2017; Lister &amp; Garcia, 2018; Seibold et al., 2019; Sánchez-Bayo &amp; Wyckhuys, 2019). Collectively these studies aim to quantify the net change in invertebrate populations and/or community composition over time and to establish whether such changes can be attributed to anthropogenic drivers (Macgregor, analysed a dataset of arthropod biomass, abundance and species richness from forest and grassland plots in a region of Germany and report significant declines of up to 78% over the time period of 2008 to 2018 (Seibold et al., 2019). However, their analysis did not account for the confounding effects of temporal pseudoreplication of observations from the same years. We show that simply by including a year random effect in the statistical models and thereby accounting for the common conditions experienced by observations from proximal sites in the same years, four of the five reported declines become non-significant out of six tests overall. To place their estimated effect sizes and those of other recent studies of insect declines in a broader geographic context, we analysed invertebrate biomass, abundance and species richness over time from 640 time series from 1167 sites around the world. We found that the average trend across the terrestrial and freshwater realms was not significantly distinguishable from no net change. Shorter time series that are likely to be most affected by sampling error variance-such as those reported in Seibold et al. 2019-yielded the most extreme estimates of decline or increase. We suggest that the uncritical media uptake of extreme negative trends from short time series may be serving to exaggerate the speed of \"insect Armageddon\" and could eventually undermine public","author":[{"dropping-particle":"","family":"Daskalova","given":"Gergana N.","non-dropping-particle":"","parse-names":false,"suffix":""},{"dropping-particle":"","family":"Phillimore","given":"Albert B.","non-dropping-particle":"","parse-names":false,"suffix":""},{"dropping-particle":"","family":"Myers</w:instrText>
      </w:r>
      <w:r>
        <w:rPr>
          <w:rFonts w:ascii="Cambria Math" w:hAnsi="Cambria Math" w:cs="Cambria Math"/>
          <w:bCs/>
          <w:color w:val="000000"/>
          <w:lang w:val="en-GB"/>
        </w:rPr>
        <w:instrText>‐</w:instrText>
      </w:r>
      <w:r>
        <w:rPr>
          <w:bCs/>
          <w:color w:val="000000"/>
          <w:lang w:val="en-GB"/>
        </w:rPr>
        <w:instrText>Smith","given":"Isla H.","non-dropping-particle":"","parse-names":false,"suffix":""}],"container-title":"Insect Conservation and Diversity","id":"ITEM-1","issue":"1","issued":{"date-parts":[["2021"]]},"page":"149-154","title":" Accounting for year effects and sampling error in temporal analyses of invertebrate population and biodiversity change: a comment on Seibold et al . 2019 ","type":"article-journal","volume":"14"},"uris":["http://www.mendeley.com/documents/?uuid=a87c0427-6dd8-453b-9175-409113a86749"]}],"mendeley":{"formattedCitation":"(Daskalova et al., 2021)","plainTextFormattedCitation":"(Daskalova et al., 2021)","previouslyFormattedCitation":"(Daskalova et al., 2021)"},"properties":{"noteIndex":0},"schema":"https://github.com/citation-style-language/schema/raw/master/csl-citation.json"}</w:instrText>
      </w:r>
      <w:r>
        <w:rPr>
          <w:bCs/>
          <w:color w:val="000000"/>
          <w:lang w:val="en-GB"/>
        </w:rPr>
        <w:fldChar w:fldCharType="separate"/>
      </w:r>
      <w:r>
        <w:rPr>
          <w:bCs/>
          <w:noProof/>
          <w:color w:val="000000" w:themeColor="text1"/>
          <w:lang w:val="en-GB"/>
        </w:rPr>
        <w:t>(Daskalova et al., 2021)</w:t>
      </w:r>
      <w:r>
        <w:rPr>
          <w:bCs/>
          <w:color w:val="000000"/>
          <w:lang w:val="en-GB"/>
        </w:rPr>
        <w:fldChar w:fldCharType="end"/>
      </w:r>
      <w:r>
        <w:rPr>
          <w:bCs/>
          <w:color w:val="000000" w:themeColor="text1"/>
          <w:lang w:val="en-GB"/>
        </w:rPr>
        <w:t xml:space="preserve"> showed that a failure to account for uncertainty in model structure inflated confidence in the estimated declines. Only one of the five reported arthropod declines remained clear after uncertainty was corrected</w:t>
      </w:r>
      <w:r w:rsidR="00BD4033">
        <w:rPr>
          <w:bCs/>
          <w:color w:val="000000" w:themeColor="text1"/>
          <w:lang w:val="en-GB"/>
        </w:rPr>
        <w:t xml:space="preserve"> </w:t>
      </w:r>
      <w:r>
        <w:rPr>
          <w:lang w:val="en-GB"/>
        </w:rPr>
        <w:fldChar w:fldCharType="begin" w:fldLock="1"/>
      </w:r>
      <w:r>
        <w:rPr>
          <w:bCs/>
          <w:color w:val="000000"/>
          <w:lang w:val="en-GB"/>
        </w:rPr>
        <w:instrText>ADDIN CSL_CITATION {"citationItems":[{"id":"ITEM-1","itemData":{"DOI":"10.1111/icad.12468","ISSN":"1752-458X","abstract":"at Nature for nine months before a decision was made to not publish the exchange. We now share the comment and response from Seibold et al. 2019 as preprints to further the discussion of how best to model and interpret population and biodiversity change. For Seibold et al.'s reply to our response, please see: Insights from regional and short-term biodiversity monitoring datasets are valuable. A Reply to Daskalova et al. 2020 EcoEvoRxiv doi:10.32942/osf.io/cg3zs https://ecoevorxiv.org/zyhf7 Summary An accumulating number of studies are reporting severe biomass, abundance and/or species richness declines of insects (Hallmann et al., 2017; Lister &amp; Garcia, 2018; Seibold et al., 2019; Sánchez-Bayo &amp; Wyckhuys, 2019). Collectively these studies aim to quantify the net change in invertebrate populations and/or community composition over time and to establish whether such changes can be attributed to anthropogenic drivers (Macgregor, analysed a dataset of arthropod biomass, abundance and species richness from forest and grassland plots in a region of Germany and report significant declines of up to 78% over the time period of 2008 to 2018 (Seibold et al., 2019). However, their analysis did not account for the confounding effects of temporal pseudoreplication of observations from the same years. We show that simply by including a year random effect in the statistical models and thereby accounting for the common conditions experienced by observations from proximal sites in the same years, four of the five reported declines become non-significant out of six tests overall. To place their estimated effect sizes and those of other recent studies of insect declines in a broader geographic context, we analysed invertebrate biomass, abundance and species richness over time from 640 time series from 1167 sites around the world. We found that the average trend across the terrestrial and freshwater realms was not significantly distinguishable from no net change. Shorter time series that are likely to be most affected by sampling error variance-such as those reported in Seibold et al. 2019-yielded the most extreme estimates of decline or increase. We suggest that the uncritical media uptake of extreme negative trends from short time series may be serving to exaggerate the speed of \"insect Armageddon\" and could eventually undermine public","author":[{"dropping-particle":"","family":"Daskalova","given":"Gergana N.","non-dropping-particle":"","parse-names":false,"suffix":""},{"dropping-particle":"","family":"Phillimore","given":"Albert B.","non-dropping-particle":"","parse-names":false,"suffix":""},{"dropping-particle":"","family":"Myers</w:instrText>
      </w:r>
      <w:r>
        <w:rPr>
          <w:rFonts w:ascii="Cambria Math" w:hAnsi="Cambria Math" w:cs="Cambria Math"/>
          <w:bCs/>
          <w:color w:val="000000"/>
          <w:lang w:val="en-GB"/>
        </w:rPr>
        <w:instrText>‐</w:instrText>
      </w:r>
      <w:r>
        <w:rPr>
          <w:bCs/>
          <w:color w:val="000000"/>
          <w:lang w:val="en-GB"/>
        </w:rPr>
        <w:instrText>Smith","given":"Isla H.","non-dropping-particle":"","parse-names":false,"suffix":""}],"container-title":"Insect Conservation and Diversity","id":"ITEM-1","issue":"1","issued":{"date-parts":[["2021"]]},"page":"149-154","title":" Accounting for year effects and sampling error in temporal analyses of invertebrate population and biodiversity change: a comment on Seibold et al . 2019 ","type":"article-journal","volume":"14"},"uris":["http://www.mendeley.com/documents/?uuid=a87c0427-6dd8-453b-9175-409113a86749"]}],"mendeley":{"formattedCitation":"(Daskalova et al., 2021)","plainTextFormattedCitation":"(Daskalova et al., 2021)","previouslyFormattedCitation":"(Daskalova et al., 2021)"},"properties":{"noteIndex":0},"schema":"https://github.com/citation-style-language/schema/raw/master/csl-citation.json"}</w:instrText>
      </w:r>
      <w:r>
        <w:rPr>
          <w:bCs/>
          <w:color w:val="000000"/>
          <w:lang w:val="en-GB"/>
        </w:rPr>
        <w:fldChar w:fldCharType="separate"/>
      </w:r>
      <w:r>
        <w:rPr>
          <w:bCs/>
          <w:noProof/>
          <w:color w:val="000000" w:themeColor="text1"/>
          <w:lang w:val="en-GB"/>
        </w:rPr>
        <w:t>(Daskalova et al., 2021)</w:t>
      </w:r>
      <w:r>
        <w:rPr>
          <w:bCs/>
          <w:color w:val="000000"/>
          <w:lang w:val="en-GB"/>
        </w:rPr>
        <w:fldChar w:fldCharType="end"/>
      </w:r>
      <w:r>
        <w:rPr>
          <w:bCs/>
          <w:color w:val="000000" w:themeColor="text1"/>
          <w:lang w:val="en-GB"/>
        </w:rPr>
        <w:t xml:space="preserve">. In 2020, epidemiological models were at the forefront of strategies related to COVID-19. An over-reliance on communicating point estimates/predictions masked the full range of possible outcomes and potentially contributed to rushed, delayed and inappropriate </w:t>
      </w:r>
      <w:r w:rsidRPr="001A5DAF">
        <w:rPr>
          <w:bCs/>
          <w:color w:val="000000" w:themeColor="text1"/>
          <w:lang w:val="en-GB"/>
        </w:rPr>
        <w:t>policy decisions and government action</w:t>
      </w:r>
      <w:r w:rsidR="00BD4033" w:rsidRPr="001A5DAF">
        <w:rPr>
          <w:bCs/>
          <w:color w:val="000000" w:themeColor="text1"/>
          <w:lang w:val="en-GB"/>
        </w:rPr>
        <w:t xml:space="preserve"> </w:t>
      </w:r>
      <w:r w:rsidRPr="001A5DAF">
        <w:rPr>
          <w:lang w:val="en-GB"/>
        </w:rPr>
        <w:fldChar w:fldCharType="begin" w:fldLock="1"/>
      </w:r>
      <w:r w:rsidRPr="001A5DAF">
        <w:rPr>
          <w:bCs/>
          <w:color w:val="000000"/>
          <w:lang w:val="en-GB"/>
        </w:rPr>
        <w:instrText>ADDIN CSL_CITATION {"citationItems":[{"id":"ITEM-1","itemData":{"DOI":"10.1177/0272989X21990391","ISSN":"1552681X","abstract":"Mathematical modeling has played a prominent and necessary role in the current coronavirus disease 2019 (COVID-19) pandemic, with an increasing number of models being developed to track and project the spread of the disease, as well as major decisions being made based on the results of these studies. A proliferation of models, often diverging widely in their projections, has been accompanied by criticism of the validity of modeled analyses and uncertainty as to when and to what extent results can be trusted. Drawing on examples from COVID-19 and other infectious diseases of global importance, we review key limitations of mathematical modeling as a tool for interpreting empirical data and informing individual and public decision making. We present several approaches that have been used to strengthen the validity of inferences drawn from these analyses, approaches that will enable better decision making in the current COVID-19 crisis and beyond.","author":[{"dropping-particle":"","family":"James","given":"Lyndon P.","non-dropping-particle":"","parse-names":false,"suffix":""},{"dropping-particle":"","family":"Salomon","given":"Joshua A.","non-dropping-particle":"","parse-names":false,"suffix":""},{"dropping-particle":"","family":"Buckee","given":"Caroline O.","non-dropping-particle":"","parse-names":false,"suffix":""},{"dropping-particle":"","family":"Menzies","given":"Nicolas A.","non-dropping-particle":"","parse-names":false,"suffix":""}],"container-title":"Medical Decision Making","id":"ITEM-1","issue":"4","issued":{"date-parts":[["2021"]]},"page":"379-385","title":"The Use and Misuse of Mathematical Modeling for Infectious Disease Policymaking: Lessons for the COVID-19 Pandemic","type":"article-journal","volume":"41"},"uris":["http://www.mendeley.com/documents/?uuid=445d4df7-d067-4648-aa86-1daba82a4347"]},{"id":"ITEM-2","itemData":{"DOI":"10.1126/sciadv.abd4563","ISSN":"23752548","PMID":"32978142","abstract":"While scientific uncertainty always invites the risk of politicization and raises questions of how to communicate about science, this risk is magnified for COVID-19. The limited data and accelerated research timelines mean that some prominent models or findings inevitably will be overturned or retracted. In this research, we examine the attitudes of more than 6000 Americans across five different survey experiments to understand how the cue giver and cue given about scientific uncertainty regarding COVID-19 affect public trust in science and support for science-based policy. Criticism from Democratic political elites undermines trust more than criticism from Republicans. Emphasizing uncertainty in projections can erode public trust in some contexts. Downplaying uncertainty can raise support in the short term, but reversals in projections may temper these effects or even reduce scientific trust. Careful science communication is critical to maintaining public support for science-based policies as the scientific consensus shifts over time.","author":[{"dropping-particle":"","family":"Kreps","given":"S. E.","non-dropping-particle":"","parse-names":false,"suffix":""},{"dropping-particle":"","family":"Kriner","given":"D. L.","non-dropping-particle":"","parse-names":false,"suffix":""}],"container-title":"Science Advances","id":"ITEM-2","issue":"43","issued":{"date-parts":[["2020"]]},"page":"eabd4563","title":"Model uncertainty, political contestation, and public trust in science: Evidence from the COVID-19 pandemic","type":"article-journal","volume":"6"},"uris":["http://www.mendeley.com/documents/?uuid=60206644-bb4f-4cd5-9224-2c6ff26ae11b"]},{"id":"ITEM-3","itemData":{"DOI":"10.1038/s43588-021-00028-9","ISSN":"2662-8457","abstract":"C ovidSim is an individual-based simulation code developed by the MRC Centre for Global Infectious Disease Analysis at Imperial College London. It is a modified version of an earlier model designed to support pandemic influenza planning 1 and has now been used to explore various non-pharmaceutical interventions (NPIs) with the aim of reducing the transmission of the coronavi-rus, as documented in the key paper 2 denoted Report 9. CovidSim played an important role in the United Kingdom in reorienting UK Government policy from herd immunity to a strategy focused on suppression of the viral infection. It should be noted, however, that many competitor models exist. Notable examples include the work performed at the London School of Hygiene and Tropical Medicine (see, for instance, refs. 3,4 and especially ref. 5), in which the effects of different NPIs in the UK are modelled. Another noteworthy model is CovaSim 6 , which is similar in structure to CovidSim in the sense that it models a population of individuals via discrete agents. Likewise, CovidSim creates a network of individuals located in areas defined by high-resolution population density data. In the model, contacts with other individuals can be made in four different types of place, namely, within households, at schools, universities and work places. It is possible to model a combination of different NPIs, namely, general social distancing (SD), social distancing for those over 70 years of age (SDOL70), home isolation of suspected cases (CI), voluntary home quarantine (HQ) and place closure of universities and schools (PC) (see Table 2 of ref. 2). CovidSim contains over 900 input parameters, which are mainly located in two input files. Furthermore, a small number of parameters that define certain characteristics of the intervention scenario one wishes to study are supplied via the command line. We investigated the reproducibility of the code, as has been done in past work 7,8. That said, we especially focus on CovidSim's robust-ness to uncertainty in the input parameters. By robustness in this context, we mean the extent to which the code amplifies uncertainties from the input to the output. Our main aim is to thus take the model as given and examine the uncertainty in its predictions when its parameters are treated as random variables instead of determin-istic inputs. We will use a dimension-adaptive sampling method for this purpose 9 to be able to handle the high-dimensional input space. This type…","author":[{"dropping-particle":"","family":"Edeling","given":"Wouter","non-dropping-particle":"","parse-names":false,"suffix":""},{"dropping-particle":"","family":"Arabnejad","given":"Hamid","non-dropping-particle":"","parse-names":false,"suffix":""},{"dropping-particle":"","family":"Sinclair","given":"Robbie","non-dropping-particle":"","parse-names":false,"suffix":""},{"dropping-particle":"","family":"Suleimenova","given":"Diana","non-dropping-particle":"","parse-names":false,"suffix":""},{"dropping-particle":"","family":"Gopalakrishnan","given":"Krishnakumar","non-dropping-particle":"","parse-names":false,"suffix":""},{"dropping-particle":"","family":"Bosak","given":"Bartosz","non-dropping-particle":"","parse-names":false,"suffix":""},{"dropping-particle":"","family":"Groen","given":"Derek","non-dropping-particle":"","parse-names":false,"suffix":""},{"dropping-particle":"","family":"Mahmood","given":"Imran","non-dropping-particle":"","parse-names":false,"suffix":""},{"dropping-particle":"","family":"Crommelin","given":"Daan","non-dropping-particle":"","parse-names":false,"suffix":""},{"dropping-particle":"V.","family":"Coveney","given":"Peter","non-dropping-particle":"","parse-names":false,"suffix":""}],"container-title":"Nature Computational Science","id":"ITEM-3","issue":"2","issued":{"date-parts":[["2021"]]},"page":"128-135","publisher":"Springer US","title":"The impact of uncertainty on predictions of the CovidSim epidemiological code","type":"article-journal","volume":"1"},"uris":["http://www.mendeley.com/documents/?uuid=ef2cdc78-d320-450b-b1b0-a58d13b04ae4"]}],"mendeley":{"formattedCitation":"(Edeling et al., 2021; James et al., 2021; Kreps and Kriner, 2020)","plainTextFormattedCitation":"(Edeling et al., 2021; James et al., 2021; Kreps and Kriner, 2020)","previouslyFormattedCitation":"(Edeling et al., 2021; James et al., 2021; Kreps and Kriner, 2020)"},"properties":{"noteIndex":0},"schema":"https://github.com/citation-style-language/schema/raw/master/csl-citation.json"}</w:instrText>
      </w:r>
      <w:r w:rsidRPr="001A5DAF">
        <w:rPr>
          <w:bCs/>
          <w:color w:val="000000"/>
          <w:lang w:val="en-GB"/>
        </w:rPr>
        <w:fldChar w:fldCharType="separate"/>
      </w:r>
      <w:r w:rsidRPr="001A5DAF">
        <w:rPr>
          <w:bCs/>
          <w:noProof/>
          <w:color w:val="000000" w:themeColor="text1"/>
          <w:lang w:val="en-GB"/>
        </w:rPr>
        <w:t>(Edeling et al., 2021; James et al., 2021; Kreps and Kriner, 2020)</w:t>
      </w:r>
      <w:r w:rsidRPr="001A5DAF">
        <w:rPr>
          <w:bCs/>
          <w:color w:val="000000"/>
          <w:lang w:val="en-GB"/>
        </w:rPr>
        <w:fldChar w:fldCharType="end"/>
      </w:r>
      <w:r w:rsidRPr="001A5DAF">
        <w:rPr>
          <w:bCs/>
          <w:color w:val="000000" w:themeColor="text1"/>
          <w:lang w:val="en-GB"/>
        </w:rPr>
        <w:t xml:space="preserve">. </w:t>
      </w:r>
      <w:r w:rsidR="003F0400" w:rsidRPr="001A5DAF">
        <w:rPr>
          <w:bCs/>
          <w:color w:val="000000" w:themeColor="text1"/>
          <w:lang w:val="en-GB"/>
        </w:rPr>
        <w:t xml:space="preserve">Indeed, inquiries into the science of COVID-19 have now begun, with scientific papers considering the role of mathematical models used for policy decisions </w:t>
      </w:r>
      <w:r w:rsidR="003F0400" w:rsidRPr="001A5DAF">
        <w:rPr>
          <w:bCs/>
          <w:color w:val="000000" w:themeColor="text1"/>
          <w:lang w:val="en-GB"/>
        </w:rPr>
        <w:fldChar w:fldCharType="begin" w:fldLock="1"/>
      </w:r>
      <w:r w:rsidR="00B80356">
        <w:rPr>
          <w:bCs/>
          <w:color w:val="000000" w:themeColor="text1"/>
          <w:lang w:val="en-GB"/>
        </w:rPr>
        <w:instrText>ADDIN CSL_CITATION {"citationItems":[{"id":"ITEM-1","itemData":{"DOI":"10.1136/bmj-2022-070615","ISBN":"2022070615","ISSN":"17561833","PMID":"36109042","author":[{"dropping-particle":"","family":"Pagel","given":"Christina","non-dropping-particle":"","parse-names":false,"suffix":""},{"dropping-particle":"","family":"Yates","given":"Christian A.","non-dropping-particle":"","parse-names":false,"suffix":""}],"container-title":"BMJ (Clinical research ed.)","id":"ITEM-1","issued":{"date-parts":[["2022"]]},"page":"e070615","title":"Role of mathematical modelling in future pandemic response policy","type":"article-journal","volume":"378"},"uris":["http://www.mendeley.com/documents/?uuid=8b34e96e-2e4c-473b-b2c6-e3ede081ddae"]}],"mendeley":{"formattedCitation":"(Pagel and Yates, 2022)","plainTextFormattedCitation":"(Pagel and Yates, 2022)","previouslyFormattedCitation":"(Pagel and Yates, 2022)"},"properties":{"noteIndex":0},"schema":"https://github.com/citation-style-language/schema/raw/master/csl-citation.json"}</w:instrText>
      </w:r>
      <w:r w:rsidR="003F0400" w:rsidRPr="001A5DAF">
        <w:rPr>
          <w:bCs/>
          <w:color w:val="000000" w:themeColor="text1"/>
          <w:lang w:val="en-GB"/>
        </w:rPr>
        <w:fldChar w:fldCharType="separate"/>
      </w:r>
      <w:r w:rsidR="003F0400" w:rsidRPr="001A5DAF">
        <w:rPr>
          <w:bCs/>
          <w:noProof/>
          <w:color w:val="000000" w:themeColor="text1"/>
          <w:lang w:val="en-GB"/>
        </w:rPr>
        <w:t>(Pagel and Yates, 2022)</w:t>
      </w:r>
      <w:r w:rsidR="003F0400" w:rsidRPr="001A5DAF">
        <w:rPr>
          <w:bCs/>
          <w:color w:val="000000" w:themeColor="text1"/>
          <w:lang w:val="en-GB"/>
        </w:rPr>
        <w:fldChar w:fldCharType="end"/>
      </w:r>
      <w:r w:rsidR="003F0400" w:rsidRPr="001A5DAF">
        <w:rPr>
          <w:bCs/>
          <w:color w:val="000000" w:themeColor="text1"/>
          <w:lang w:val="en-GB"/>
        </w:rPr>
        <w:t>.</w:t>
      </w:r>
    </w:p>
    <w:p w14:paraId="413403B5" w14:textId="77777777" w:rsidR="00644FDF" w:rsidRDefault="00C732FA">
      <w:pPr>
        <w:rPr>
          <w:lang w:val="en-GB"/>
        </w:rPr>
      </w:pPr>
      <w:r>
        <w:rPr>
          <w:lang w:val="en-GB"/>
        </w:rPr>
        <w:t xml:space="preserve"> </w:t>
      </w:r>
    </w:p>
    <w:p w14:paraId="037F1F22" w14:textId="657AA7FF" w:rsidR="00644FDF" w:rsidRDefault="00C732FA">
      <w:pPr>
        <w:rPr>
          <w:lang w:val="en-GB"/>
        </w:rPr>
      </w:pPr>
      <w:r>
        <w:rPr>
          <w:lang w:val="en-GB"/>
        </w:rPr>
        <w:t xml:space="preserve">All potential sources of uncertainty should be considered and accounted for when constructing, running, and interpreting statistical and mathematical models. The framework we use for our audit breaks model-related uncertainty into three primary sources: data (both observed and simulated), parameters, and model structure. The data element is further split into two sub-sources: the response, </w:t>
      </w:r>
      <w:proofErr w:type="gramStart"/>
      <w:r>
        <w:rPr>
          <w:lang w:val="en-GB"/>
        </w:rPr>
        <w:t>i.e.</w:t>
      </w:r>
      <w:proofErr w:type="gramEnd"/>
      <w:r>
        <w:rPr>
          <w:lang w:val="en-GB"/>
        </w:rPr>
        <w:t xml:space="preserve"> the focal variable trying to be explained, and the explanatory variables, i.e. any variables used to explain the response. This gives four sources in total to assess. An example of the framework as applied to a simple linear regression is given in </w:t>
      </w:r>
      <w:r w:rsidR="00286A98">
        <w:rPr>
          <w:lang w:val="en-GB"/>
        </w:rPr>
        <w:t>B</w:t>
      </w:r>
      <w:r>
        <w:rPr>
          <w:lang w:val="en-GB"/>
        </w:rPr>
        <w:t>ox 1. This ‘source framework’ is broad enough to be applicable to multiple scientific fields, while still capturing the main sources of model-related uncertainty.</w:t>
      </w:r>
    </w:p>
    <w:p w14:paraId="3EDA0FCD" w14:textId="77777777" w:rsidR="00644FDF" w:rsidRDefault="00644FDF">
      <w:pPr>
        <w:pBdr>
          <w:bottom w:val="single" w:sz="36" w:space="1" w:color="000000"/>
        </w:pBdr>
        <w:rPr>
          <w:lang w:val="en-GB"/>
        </w:rPr>
      </w:pPr>
      <w:bookmarkStart w:id="0" w:name="_Hlk97911268"/>
    </w:p>
    <w:p w14:paraId="4E9D0B01" w14:textId="77777777" w:rsidR="00644FDF" w:rsidRDefault="00644FDF">
      <w:pPr>
        <w:rPr>
          <w:sz w:val="10"/>
          <w:szCs w:val="10"/>
          <w:lang w:val="en-GB"/>
        </w:rPr>
      </w:pPr>
    </w:p>
    <w:p w14:paraId="79BC15E7" w14:textId="77777777" w:rsidR="00644FDF" w:rsidRDefault="00C732FA">
      <w:pPr>
        <w:rPr>
          <w:sz w:val="16"/>
          <w:szCs w:val="16"/>
          <w:lang w:val="en-GB"/>
        </w:rPr>
      </w:pPr>
      <w:r>
        <w:rPr>
          <w:b/>
          <w:lang w:val="en-GB"/>
        </w:rPr>
        <w:t>Box 1: Example of source framework</w:t>
      </w:r>
    </w:p>
    <w:p w14:paraId="3FA13861" w14:textId="77777777" w:rsidR="00644FDF" w:rsidRDefault="00C732FA">
      <w:pPr>
        <w:rPr>
          <w:b/>
          <w:lang w:val="en-GB"/>
        </w:rPr>
      </w:pPr>
      <w:r>
        <w:rPr>
          <w:b/>
          <w:lang w:val="en-GB"/>
        </w:rPr>
        <w:t xml:space="preserve"> </w:t>
      </w:r>
    </w:p>
    <w:p w14:paraId="26FCA5A6" w14:textId="77777777" w:rsidR="00644FDF" w:rsidRDefault="00C732FA">
      <w:pPr>
        <w:rPr>
          <w:lang w:val="en-GB"/>
        </w:rPr>
      </w:pPr>
      <w:r>
        <w:rPr>
          <w:lang w:val="en-GB"/>
        </w:rPr>
        <w:t>Focal model: a simple linear regression of change in height of plants as a function of temperature.</w:t>
      </w:r>
    </w:p>
    <w:p w14:paraId="456BA4ED" w14:textId="77777777" w:rsidR="00644FDF" w:rsidRDefault="00644FDF">
      <w:pPr>
        <w:rPr>
          <w:lang w:val="en-GB"/>
        </w:rPr>
      </w:pPr>
    </w:p>
    <w:p w14:paraId="4DA2E6D9" w14:textId="77777777" w:rsidR="00644FDF" w:rsidRDefault="00C732FA">
      <w:pPr>
        <w:rPr>
          <w:lang w:val="en-GB"/>
        </w:rPr>
      </w:pPr>
      <w:r>
        <w:rPr>
          <w:lang w:val="en-GB"/>
        </w:rPr>
        <w:t>Model equation:</w:t>
      </w:r>
      <w:r>
        <w:rPr>
          <w:lang w:val="en-GB"/>
        </w:rPr>
        <w:tab/>
      </w:r>
      <w:r>
        <w:rPr>
          <w:lang w:val="en-GB"/>
        </w:rPr>
        <w:tab/>
      </w:r>
      <w:r>
        <w:rPr>
          <w:lang w:val="en-GB"/>
        </w:rPr>
        <w:tab/>
      </w:r>
      <w:r>
        <w:rPr>
          <w:lang w:val="en-GB"/>
        </w:rPr>
        <w:tab/>
      </w:r>
      <m:oMath>
        <m: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β</m:t>
            </m:r>
          </m:e>
          <m:sub>
            <m:r>
              <w:rPr>
                <w:rFonts w:ascii="Cambria Math" w:hAnsi="Cambria Math"/>
                <w:lang w:val="en-GB"/>
              </w:rPr>
              <m:t>0</m:t>
            </m:r>
          </m:sub>
        </m:sSub>
        <m:r>
          <w:rPr>
            <w:rFonts w:ascii="Cambria Math" w:hAnsi="Cambria Math"/>
            <w:lang w:val="en-GB"/>
          </w:rPr>
          <m:t>+</m:t>
        </m:r>
        <m:sSub>
          <m:sSubPr>
            <m:ctrlPr>
              <w:rPr>
                <w:rFonts w:ascii="Cambria Math" w:hAnsi="Cambria Math"/>
                <w:lang w:val="en-GB"/>
              </w:rPr>
            </m:ctrlPr>
          </m:sSubPr>
          <m:e>
            <m:r>
              <w:rPr>
                <w:rFonts w:ascii="Cambria Math" w:hAnsi="Cambria Math"/>
                <w:lang w:val="en-GB"/>
              </w:rPr>
              <m:t>β</m:t>
            </m:r>
          </m:e>
          <m:sub>
            <m:r>
              <w:rPr>
                <w:rFonts w:ascii="Cambria Math" w:hAnsi="Cambria Math"/>
                <w:lang w:val="en-GB"/>
              </w:rPr>
              <m:t>1</m:t>
            </m:r>
          </m:sub>
        </m:sSub>
        <m:r>
          <w:rPr>
            <w:rFonts w:ascii="Cambria Math" w:hAnsi="Cambria Math"/>
            <w:lang w:val="en-GB"/>
          </w:rPr>
          <m:t>Temp+</m:t>
        </m:r>
        <m:sSub>
          <m:sSubPr>
            <m:ctrlPr>
              <w:rPr>
                <w:rFonts w:ascii="Cambria Math" w:hAnsi="Cambria Math"/>
                <w:lang w:val="en-GB"/>
              </w:rPr>
            </m:ctrlPr>
          </m:sSubPr>
          <m:e>
            <m:r>
              <w:rPr>
                <w:rFonts w:ascii="Cambria Math" w:hAnsi="Cambria Math"/>
                <w:lang w:val="en-GB"/>
              </w:rPr>
              <m:t>ε</m:t>
            </m:r>
          </m:e>
          <m:sub>
            <m:r>
              <w:rPr>
                <w:rFonts w:ascii="Cambria Math" w:hAnsi="Cambria Math"/>
                <w:lang w:val="en-GB"/>
              </w:rPr>
              <m:t>i</m:t>
            </m:r>
          </m:sub>
        </m:sSub>
      </m:oMath>
    </w:p>
    <w:p w14:paraId="7D7EE8FF" w14:textId="77777777" w:rsidR="00644FDF" w:rsidRDefault="00644FDF">
      <w:pPr>
        <w:rPr>
          <w:lang w:val="en-GB"/>
        </w:rPr>
      </w:pPr>
    </w:p>
    <w:p w14:paraId="08BD7A7F" w14:textId="77777777" w:rsidR="00644FDF" w:rsidRDefault="00000000">
      <w:pPr>
        <w:jc w:val="center"/>
        <w:rPr>
          <w:lang w:val="en-GB"/>
        </w:rPr>
      </w:pPr>
      <m:oMathPara>
        <m:oMathParaPr>
          <m:jc m:val="center"/>
        </m:oMathParaPr>
        <m:oMath>
          <m:sSub>
            <m:sSubPr>
              <m:ctrlPr>
                <w:rPr>
                  <w:rFonts w:ascii="Cambria Math" w:hAnsi="Cambria Math"/>
                  <w:lang w:val="en-GB"/>
                </w:rPr>
              </m:ctrlPr>
            </m:sSubPr>
            <m:e>
              <m:r>
                <w:rPr>
                  <w:rFonts w:ascii="Cambria Math" w:hAnsi="Cambria Math"/>
                  <w:lang w:val="en-GB"/>
                </w:rPr>
                <m:t>ε</m:t>
              </m:r>
            </m:e>
            <m:sub>
              <m:r>
                <w:rPr>
                  <w:rFonts w:ascii="Cambria Math" w:hAnsi="Cambria Math"/>
                  <w:lang w:val="en-GB"/>
                </w:rPr>
                <m:t>i</m:t>
              </m:r>
            </m:sub>
          </m:sSub>
          <m:r>
            <w:rPr>
              <w:rFonts w:ascii="Cambria Math" w:hAnsi="Cambria Math"/>
              <w:lang w:val="en-GB"/>
            </w:rPr>
            <m:t>=N</m:t>
          </m:r>
          <m:d>
            <m:dPr>
              <m:ctrlPr>
                <w:rPr>
                  <w:rFonts w:ascii="Cambria Math" w:hAnsi="Cambria Math"/>
                  <w:lang w:val="en-GB"/>
                </w:rPr>
              </m:ctrlPr>
            </m:dPr>
            <m:e>
              <m:r>
                <w:rPr>
                  <w:rFonts w:ascii="Cambria Math" w:hAnsi="Cambria Math"/>
                  <w:lang w:val="en-GB"/>
                </w:rPr>
                <m:t>0,</m:t>
              </m:r>
              <m:sSup>
                <m:sSupPr>
                  <m:ctrlPr>
                    <w:rPr>
                      <w:rFonts w:ascii="Cambria Math" w:hAnsi="Cambria Math"/>
                      <w:lang w:val="en-GB"/>
                    </w:rPr>
                  </m:ctrlPr>
                </m:sSupPr>
                <m:e>
                  <m:r>
                    <w:rPr>
                      <w:rFonts w:ascii="Cambria Math" w:hAnsi="Cambria Math"/>
                      <w:lang w:val="en-GB"/>
                    </w:rPr>
                    <m:t>σ</m:t>
                  </m:r>
                </m:e>
                <m:sup>
                  <m:r>
                    <w:rPr>
                      <w:rFonts w:ascii="Cambria Math" w:hAnsi="Cambria Math"/>
                      <w:lang w:val="en-GB"/>
                    </w:rPr>
                    <m:t>2</m:t>
                  </m:r>
                </m:sup>
              </m:sSup>
            </m:e>
          </m:d>
        </m:oMath>
      </m:oMathPara>
    </w:p>
    <w:p w14:paraId="6811175A" w14:textId="77777777" w:rsidR="00644FDF" w:rsidRDefault="00644FDF">
      <w:pPr>
        <w:rPr>
          <w:lang w:val="en-GB"/>
        </w:rPr>
      </w:pPr>
    </w:p>
    <w:tbl>
      <w:tblPr>
        <w:tblStyle w:val="TableGrid"/>
        <w:tblW w:w="9350" w:type="dxa"/>
        <w:tblLayout w:type="fixed"/>
        <w:tblLook w:val="04A0" w:firstRow="1" w:lastRow="0" w:firstColumn="1" w:lastColumn="0" w:noHBand="0" w:noVBand="1"/>
      </w:tblPr>
      <w:tblGrid>
        <w:gridCol w:w="3116"/>
        <w:gridCol w:w="3117"/>
        <w:gridCol w:w="3117"/>
      </w:tblGrid>
      <w:tr w:rsidR="00644FDF" w14:paraId="0A8AD4B8" w14:textId="77777777">
        <w:tc>
          <w:tcPr>
            <w:tcW w:w="3116" w:type="dxa"/>
          </w:tcPr>
          <w:p w14:paraId="72B9C0E4" w14:textId="77777777" w:rsidR="00644FDF" w:rsidRDefault="00C732FA">
            <w:pPr>
              <w:spacing w:line="240" w:lineRule="auto"/>
              <w:rPr>
                <w:b/>
                <w:bCs/>
                <w:lang w:val="en-GB"/>
              </w:rPr>
            </w:pPr>
            <w:r>
              <w:rPr>
                <w:b/>
                <w:bCs/>
                <w:lang w:val="en-GB"/>
              </w:rPr>
              <w:t>Source</w:t>
            </w:r>
          </w:p>
        </w:tc>
        <w:tc>
          <w:tcPr>
            <w:tcW w:w="3117" w:type="dxa"/>
          </w:tcPr>
          <w:p w14:paraId="5B29EBEE" w14:textId="77777777" w:rsidR="00644FDF" w:rsidRDefault="00C732FA">
            <w:pPr>
              <w:spacing w:line="240" w:lineRule="auto"/>
              <w:jc w:val="center"/>
              <w:rPr>
                <w:b/>
                <w:bCs/>
                <w:lang w:val="en-GB"/>
              </w:rPr>
            </w:pPr>
            <w:r>
              <w:rPr>
                <w:b/>
                <w:bCs/>
                <w:lang w:val="en-GB"/>
              </w:rPr>
              <w:t>Element in the focal model</w:t>
            </w:r>
          </w:p>
        </w:tc>
        <w:tc>
          <w:tcPr>
            <w:tcW w:w="3117" w:type="dxa"/>
          </w:tcPr>
          <w:p w14:paraId="724CE219" w14:textId="77777777" w:rsidR="00644FDF" w:rsidRDefault="00C732FA">
            <w:pPr>
              <w:spacing w:line="240" w:lineRule="auto"/>
              <w:jc w:val="center"/>
              <w:rPr>
                <w:b/>
                <w:bCs/>
                <w:lang w:val="en-GB"/>
              </w:rPr>
            </w:pPr>
            <w:r>
              <w:rPr>
                <w:b/>
                <w:bCs/>
                <w:lang w:val="en-GB"/>
              </w:rPr>
              <w:t>Example of potential uncertainty</w:t>
            </w:r>
          </w:p>
        </w:tc>
      </w:tr>
      <w:tr w:rsidR="00644FDF" w14:paraId="4FB54CC4" w14:textId="77777777">
        <w:tc>
          <w:tcPr>
            <w:tcW w:w="3116" w:type="dxa"/>
          </w:tcPr>
          <w:p w14:paraId="0B0F3F3C" w14:textId="77777777" w:rsidR="00644FDF" w:rsidRDefault="00644FDF">
            <w:pPr>
              <w:spacing w:line="240" w:lineRule="auto"/>
              <w:rPr>
                <w:lang w:val="en-GB"/>
              </w:rPr>
            </w:pPr>
          </w:p>
          <w:p w14:paraId="62F99099" w14:textId="77777777" w:rsidR="00644FDF" w:rsidRDefault="00C732FA">
            <w:pPr>
              <w:spacing w:line="240" w:lineRule="auto"/>
              <w:rPr>
                <w:lang w:val="en-GB"/>
              </w:rPr>
            </w:pPr>
            <w:r>
              <w:rPr>
                <w:lang w:val="en-GB"/>
              </w:rPr>
              <w:t>Response variable</w:t>
            </w:r>
          </w:p>
          <w:p w14:paraId="1B2D3971" w14:textId="77777777" w:rsidR="00644FDF" w:rsidRDefault="00644FDF">
            <w:pPr>
              <w:spacing w:line="240" w:lineRule="auto"/>
              <w:rPr>
                <w:lang w:val="en-GB"/>
              </w:rPr>
            </w:pPr>
          </w:p>
        </w:tc>
        <w:tc>
          <w:tcPr>
            <w:tcW w:w="3117" w:type="dxa"/>
            <w:vAlign w:val="center"/>
          </w:tcPr>
          <w:p w14:paraId="31016132" w14:textId="77777777" w:rsidR="00644FDF" w:rsidRDefault="00C732FA">
            <w:pPr>
              <w:spacing w:line="240" w:lineRule="auto"/>
              <w:jc w:val="center"/>
              <w:rPr>
                <w:lang w:val="en-GB"/>
              </w:rPr>
            </w:pPr>
            <w:r>
              <w:rPr>
                <w:lang w:val="en-GB"/>
              </w:rPr>
              <w:t>Change in height (</w:t>
            </w:r>
            <m:oMath>
              <m:r>
                <w:rPr>
                  <w:rFonts w:ascii="Cambria Math" w:hAnsi="Cambria Math"/>
                  <w:lang w:val="en-GB"/>
                </w:rPr>
                <m:t>∆H</m:t>
              </m:r>
            </m:oMath>
            <w:r>
              <w:rPr>
                <w:lang w:val="en-GB"/>
              </w:rPr>
              <w:t>)</w:t>
            </w:r>
          </w:p>
        </w:tc>
        <w:tc>
          <w:tcPr>
            <w:tcW w:w="3117" w:type="dxa"/>
            <w:vAlign w:val="center"/>
          </w:tcPr>
          <w:p w14:paraId="1CFA7709" w14:textId="77777777" w:rsidR="00644FDF" w:rsidRDefault="00C732FA">
            <w:pPr>
              <w:spacing w:line="240" w:lineRule="auto"/>
              <w:jc w:val="center"/>
              <w:rPr>
                <w:lang w:val="en-GB"/>
              </w:rPr>
            </w:pPr>
            <w:r>
              <w:rPr>
                <w:lang w:val="en-GB"/>
              </w:rPr>
              <w:t>Measurement/observation error</w:t>
            </w:r>
          </w:p>
        </w:tc>
      </w:tr>
      <w:tr w:rsidR="00644FDF" w14:paraId="6F8143FC" w14:textId="77777777">
        <w:tc>
          <w:tcPr>
            <w:tcW w:w="3116" w:type="dxa"/>
          </w:tcPr>
          <w:p w14:paraId="794ED364" w14:textId="77777777" w:rsidR="00644FDF" w:rsidRDefault="00644FDF">
            <w:pPr>
              <w:spacing w:line="240" w:lineRule="auto"/>
              <w:rPr>
                <w:lang w:val="en-GB"/>
              </w:rPr>
            </w:pPr>
          </w:p>
          <w:p w14:paraId="60109B83" w14:textId="77777777" w:rsidR="00644FDF" w:rsidRDefault="00C732FA">
            <w:pPr>
              <w:spacing w:line="240" w:lineRule="auto"/>
              <w:rPr>
                <w:lang w:val="en-GB"/>
              </w:rPr>
            </w:pPr>
            <w:r>
              <w:rPr>
                <w:lang w:val="en-GB"/>
              </w:rPr>
              <w:t>Explanatory variable</w:t>
            </w:r>
          </w:p>
          <w:p w14:paraId="782AD7EA" w14:textId="77777777" w:rsidR="00644FDF" w:rsidRDefault="00644FDF">
            <w:pPr>
              <w:spacing w:line="240" w:lineRule="auto"/>
              <w:rPr>
                <w:lang w:val="en-GB"/>
              </w:rPr>
            </w:pPr>
          </w:p>
        </w:tc>
        <w:tc>
          <w:tcPr>
            <w:tcW w:w="3117" w:type="dxa"/>
            <w:vAlign w:val="center"/>
          </w:tcPr>
          <w:p w14:paraId="1EAA185B" w14:textId="77777777" w:rsidR="00644FDF" w:rsidRDefault="00C732FA">
            <w:pPr>
              <w:spacing w:line="240" w:lineRule="auto"/>
              <w:jc w:val="center"/>
              <w:rPr>
                <w:lang w:val="en-GB"/>
              </w:rPr>
            </w:pPr>
            <w:r>
              <w:rPr>
                <w:lang w:val="en-GB"/>
              </w:rPr>
              <w:t>Temperature (</w:t>
            </w:r>
            <m:oMath>
              <m:r>
                <w:rPr>
                  <w:rFonts w:ascii="Cambria Math" w:hAnsi="Cambria Math"/>
                  <w:lang w:val="en-GB"/>
                </w:rPr>
                <m:t>Temp</m:t>
              </m:r>
            </m:oMath>
            <w:r>
              <w:rPr>
                <w:lang w:val="en-GB"/>
              </w:rPr>
              <w:t>)</w:t>
            </w:r>
          </w:p>
        </w:tc>
        <w:tc>
          <w:tcPr>
            <w:tcW w:w="3117" w:type="dxa"/>
            <w:vAlign w:val="center"/>
          </w:tcPr>
          <w:p w14:paraId="7E7527B5" w14:textId="77777777" w:rsidR="00644FDF" w:rsidRDefault="00C732FA">
            <w:pPr>
              <w:spacing w:line="240" w:lineRule="auto"/>
              <w:jc w:val="center"/>
              <w:rPr>
                <w:lang w:val="en-GB"/>
              </w:rPr>
            </w:pPr>
            <w:r>
              <w:rPr>
                <w:lang w:val="en-GB"/>
              </w:rPr>
              <w:t>Measurement/observation error</w:t>
            </w:r>
          </w:p>
        </w:tc>
      </w:tr>
      <w:tr w:rsidR="00644FDF" w14:paraId="760DB647" w14:textId="77777777">
        <w:tc>
          <w:tcPr>
            <w:tcW w:w="3116" w:type="dxa"/>
          </w:tcPr>
          <w:p w14:paraId="4D1A16DA" w14:textId="77777777" w:rsidR="00644FDF" w:rsidRDefault="00644FDF">
            <w:pPr>
              <w:spacing w:line="240" w:lineRule="auto"/>
              <w:rPr>
                <w:lang w:val="en-GB"/>
              </w:rPr>
            </w:pPr>
          </w:p>
          <w:p w14:paraId="7CEB9038" w14:textId="77777777" w:rsidR="00644FDF" w:rsidRDefault="00C732FA">
            <w:pPr>
              <w:spacing w:line="240" w:lineRule="auto"/>
              <w:rPr>
                <w:lang w:val="en-GB"/>
              </w:rPr>
            </w:pPr>
            <w:r>
              <w:rPr>
                <w:lang w:val="en-GB"/>
              </w:rPr>
              <w:t>Parameter estimates</w:t>
            </w:r>
          </w:p>
        </w:tc>
        <w:tc>
          <w:tcPr>
            <w:tcW w:w="3117" w:type="dxa"/>
            <w:vAlign w:val="center"/>
          </w:tcPr>
          <w:p w14:paraId="7408AB2D" w14:textId="77777777" w:rsidR="00644FDF" w:rsidRDefault="00C732FA">
            <w:pPr>
              <w:spacing w:line="240" w:lineRule="auto"/>
              <w:jc w:val="center"/>
              <w:rPr>
                <w:lang w:val="en-GB"/>
              </w:rPr>
            </w:pPr>
            <w:r>
              <w:rPr>
                <w:lang w:val="en-GB"/>
              </w:rPr>
              <w:t>Estimates of: Intercept (</w:t>
            </w:r>
            <m:oMath>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β</m:t>
                      </m:r>
                    </m:e>
                  </m:acc>
                </m:e>
                <m:sub>
                  <m:r>
                    <w:rPr>
                      <w:rFonts w:ascii="Cambria Math" w:hAnsi="Cambria Math"/>
                      <w:lang w:val="en-GB"/>
                    </w:rPr>
                    <m:t>0</m:t>
                  </m:r>
                </m:sub>
              </m:sSub>
            </m:oMath>
            <w:r>
              <w:rPr>
                <w:lang w:val="en-GB"/>
              </w:rPr>
              <w:t>), slope of relationship (</w:t>
            </w:r>
            <m:oMath>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β</m:t>
                      </m:r>
                    </m:e>
                  </m:acc>
                </m:e>
                <m:sub>
                  <m:r>
                    <w:rPr>
                      <w:rFonts w:ascii="Cambria Math" w:hAnsi="Cambria Math"/>
                      <w:lang w:val="en-GB"/>
                    </w:rPr>
                    <m:t>1</m:t>
                  </m:r>
                </m:sub>
              </m:sSub>
            </m:oMath>
            <w:r>
              <w:rPr>
                <w:lang w:val="en-GB"/>
              </w:rPr>
              <w:t>), and variance of the error (</w:t>
            </w:r>
            <m:oMath>
              <m:sSup>
                <m:sSupPr>
                  <m:ctrlPr>
                    <w:rPr>
                      <w:rFonts w:ascii="Cambria Math" w:hAnsi="Cambria Math"/>
                      <w:lang w:val="en-GB"/>
                    </w:rPr>
                  </m:ctrlPr>
                </m:sSupPr>
                <m:e>
                  <m:acc>
                    <m:accPr>
                      <m:chr m:val="^"/>
                      <m:ctrlPr>
                        <w:rPr>
                          <w:rFonts w:ascii="Cambria Math" w:hAnsi="Cambria Math"/>
                          <w:lang w:val="en-GB"/>
                        </w:rPr>
                      </m:ctrlPr>
                    </m:accPr>
                    <m:e>
                      <m:r>
                        <w:rPr>
                          <w:rFonts w:ascii="Cambria Math" w:hAnsi="Cambria Math"/>
                          <w:lang w:val="en-GB"/>
                        </w:rPr>
                        <m:t>σ</m:t>
                      </m:r>
                    </m:e>
                  </m:acc>
                </m:e>
                <m:sup>
                  <m:r>
                    <w:rPr>
                      <w:rFonts w:ascii="Cambria Math" w:hAnsi="Cambria Math"/>
                      <w:lang w:val="en-GB"/>
                    </w:rPr>
                    <m:t>2</m:t>
                  </m:r>
                </m:sup>
              </m:sSup>
            </m:oMath>
            <w:r>
              <w:rPr>
                <w:lang w:val="en-GB"/>
              </w:rPr>
              <w:t>)</w:t>
            </w:r>
          </w:p>
        </w:tc>
        <w:tc>
          <w:tcPr>
            <w:tcW w:w="3117" w:type="dxa"/>
            <w:vAlign w:val="center"/>
          </w:tcPr>
          <w:p w14:paraId="0B9BE0DA" w14:textId="77777777" w:rsidR="00644FDF" w:rsidRDefault="00C732FA">
            <w:pPr>
              <w:spacing w:line="240" w:lineRule="auto"/>
              <w:jc w:val="center"/>
              <w:rPr>
                <w:lang w:val="en-GB"/>
              </w:rPr>
            </w:pPr>
            <w:r>
              <w:rPr>
                <w:lang w:val="en-GB"/>
              </w:rPr>
              <w:t>Standard error/confidence interval</w:t>
            </w:r>
          </w:p>
        </w:tc>
      </w:tr>
      <w:tr w:rsidR="00644FDF" w14:paraId="5EDF251F" w14:textId="77777777">
        <w:tc>
          <w:tcPr>
            <w:tcW w:w="3116" w:type="dxa"/>
          </w:tcPr>
          <w:p w14:paraId="0716ACA5" w14:textId="77777777" w:rsidR="00644FDF" w:rsidRDefault="00644FDF">
            <w:pPr>
              <w:spacing w:line="240" w:lineRule="auto"/>
              <w:rPr>
                <w:lang w:val="en-GB"/>
              </w:rPr>
            </w:pPr>
          </w:p>
          <w:p w14:paraId="0BE9EA52" w14:textId="77777777" w:rsidR="00644FDF" w:rsidRDefault="00C732FA">
            <w:pPr>
              <w:spacing w:line="240" w:lineRule="auto"/>
              <w:rPr>
                <w:lang w:val="en-GB"/>
              </w:rPr>
            </w:pPr>
            <w:r>
              <w:rPr>
                <w:lang w:val="en-GB"/>
              </w:rPr>
              <w:t>Model structure</w:t>
            </w:r>
          </w:p>
        </w:tc>
        <w:tc>
          <w:tcPr>
            <w:tcW w:w="3117" w:type="dxa"/>
            <w:vAlign w:val="center"/>
          </w:tcPr>
          <w:p w14:paraId="27CEFDFE" w14:textId="77777777" w:rsidR="00644FDF" w:rsidRDefault="00C732FA">
            <w:pPr>
              <w:spacing w:line="240" w:lineRule="auto"/>
              <w:jc w:val="center"/>
              <w:rPr>
                <w:lang w:val="en-GB"/>
              </w:rPr>
            </w:pPr>
            <w:r>
              <w:rPr>
                <w:lang w:val="en-GB"/>
              </w:rPr>
              <w:t>The structure of the equation</w:t>
            </w:r>
          </w:p>
        </w:tc>
        <w:tc>
          <w:tcPr>
            <w:tcW w:w="3117" w:type="dxa"/>
            <w:vAlign w:val="center"/>
          </w:tcPr>
          <w:p w14:paraId="4AF2C793" w14:textId="77777777" w:rsidR="00644FDF" w:rsidRDefault="00C732FA">
            <w:pPr>
              <w:spacing w:line="240" w:lineRule="auto"/>
              <w:jc w:val="center"/>
              <w:rPr>
                <w:lang w:val="en-GB"/>
              </w:rPr>
            </w:pPr>
            <w:r>
              <w:rPr>
                <w:lang w:val="en-GB"/>
              </w:rPr>
              <w:t xml:space="preserve">Comparison of alternative formulations </w:t>
            </w:r>
            <w:proofErr w:type="gramStart"/>
            <w:r>
              <w:rPr>
                <w:lang w:val="en-GB"/>
              </w:rPr>
              <w:t>e.g.</w:t>
            </w:r>
            <w:proofErr w:type="gramEnd"/>
            <w:r>
              <w:rPr>
                <w:lang w:val="en-GB"/>
              </w:rPr>
              <w:t xml:space="preserve"> non-linear structure or additional explanatory variables</w:t>
            </w:r>
          </w:p>
        </w:tc>
      </w:tr>
    </w:tbl>
    <w:p w14:paraId="31A0047C" w14:textId="77777777" w:rsidR="00644FDF" w:rsidRDefault="00C732FA">
      <w:pPr>
        <w:pBdr>
          <w:bottom w:val="single" w:sz="36" w:space="1" w:color="000000"/>
        </w:pBdr>
        <w:rPr>
          <w:sz w:val="10"/>
          <w:szCs w:val="10"/>
          <w:lang w:val="en-GB"/>
        </w:rPr>
      </w:pPr>
      <w:r>
        <w:rPr>
          <w:lang w:val="en-GB"/>
        </w:rPr>
        <w:t xml:space="preserve"> </w:t>
      </w:r>
    </w:p>
    <w:bookmarkEnd w:id="0"/>
    <w:p w14:paraId="62D8C3F0" w14:textId="77777777" w:rsidR="00644FDF" w:rsidRDefault="00644FDF">
      <w:pPr>
        <w:rPr>
          <w:lang w:val="en-GB"/>
        </w:rPr>
      </w:pPr>
    </w:p>
    <w:p w14:paraId="30E1C58D" w14:textId="7193DD9A" w:rsidR="00644FDF" w:rsidRDefault="00C732FA">
      <w:pPr>
        <w:rPr>
          <w:lang w:val="en-GB"/>
        </w:rPr>
      </w:pPr>
      <w:r>
        <w:rPr>
          <w:lang w:val="en-GB"/>
        </w:rPr>
        <w:t xml:space="preserve">Previous work has suggested that our current consideration of model-related uncertainty in the sciences is not sufficient </w:t>
      </w:r>
      <w:r>
        <w:rPr>
          <w:lang w:val="en-GB"/>
        </w:rPr>
        <w:fldChar w:fldCharType="begin" w:fldLock="1"/>
      </w:r>
      <w:r>
        <w:rPr>
          <w:lang w:val="en-GB"/>
        </w:rPr>
        <w:instrText>ADDIN CSL_CITATION {"citationItems":[{"id":"ITEM-1","itemData":{"DOI":"10.1038/s41467-019-11865-8","ISSN":"20411723","PMID":"31455789","author":[{"dropping-particle":"","family":"Saltelli","given":"Andrea","non-dropping-particle":"","parse-names":false,"suffix":""}],"container-title":"Nature Communications","id":"ITEM-1","issued":{"date-parts":[["2019"]]},"page":"1-3","publisher":"Springer US","title":"A short comment on statistical versus mathematical modelling","type":"article-journal","volume":"10"},"uris":["http://www.mendeley.com/documents/?uuid=eca838ea-0144-421b-add2-824025fa22da"]},{"id":"ITEM-2","itemData":{"DOI":"10.1098/rsta.2020.0071","ISBN":"0000000186612","ISSN":"14712962","PMID":"33775141","abstract":"Many computer models possess high-dimensional input spaces and substantial computational time to produce a single model evaluation. Although such models are often 'deterministic', these models suffer from a wide range of uncertainties. We argue that uncertainty quantification is crucial for computer model validation and reproducibility. We present a statistical framework, termed history matching, for performing global parameter search by comparing model output to the observed data. We employ Gaussian process (GP) emulators to produce fast predictions about model behaviour at the arbitrary input parameter settings allowing output uncertainty distributions to be calculated. History matching identifies sets of input parameters that give rise to acceptable matches between observed data and model output given our representation of uncertainties. Modellers could proceed by simulating computer models' outputs of interest at these identified parameter settings and producing a range of predictions. The variability in model results is crucial for inter-model comparison as well as model development. We illustrate the performance of emulation and history matching on a simple one-dimensional toy model and in application to a climate model. This article is part of the theme issue 'Reliability and reproducibility in computational science: implementing verification, validation and uncertainty quantification in silico'.","author":[{"dropping-particle":"","family":"Volodina","given":"Victoria","non-dropping-particle":"","parse-names":false,"suffix":""},{"dropping-particle":"","family":"Challenor","given":"Peter","non-dropping-particle":"","parse-names":false,"suffix":""}],"container-title":"Philosophical transactions. Series A, Mathematical, physical, and engineering sciences","id":"ITEM-2","issued":{"date-parts":[["2021"]]},"page":"20200071","title":"The importance of uncertainty quantification in model reproducibility","type":"article-journal","volume":"379"},"uris":["http://www.mendeley.com/documents/?uuid=0bddc6a4-f6bc-4a9d-824e-719d6390314c"]},{"id":"ITEM-3","itemData":{"DOI":"10.1111/1365-2664.12887","ISSN":"13652664","abstract":"Applied ecologists often face uncertainty that hinders effective decision-making. Common traps that may catch the unwary are: ignoring uncertainty, acknowledging uncertainty but ploughing on, focussing on trivial uncertainties, believing your models, and unclear objectives. We integrate research insights and examples from a wide range of applied ecological fields to illustrate advances that are generally underused, but could facilitate ecologists’ ability to plan and execute research to support management. Recommended approaches to avoid uncertainty traps are: embracing models, using decision theory, using models more effectively, thinking experimentally, and being realistic about uncertainty. Synthesis and applications. Applied ecologists can become more effective at informing management by using approaches that explicitly take account of uncertainty.","author":[{"dropping-particle":"","family":"Milner-Gulland","given":"E. J.","non-dropping-particle":"","parse-names":false,"suffix":""},{"dropping-particle":"","family":"Shea","given":"Katriona","non-dropping-particle":"","parse-names":false,"suffix":""}],"container-title":"Journal of Applied Ecology","id":"ITEM-3","issue":"6","issued":{"date-parts":[["2017"]]},"page":"2063-2068","title":"Embracing uncertainty in applied ecology","type":"article-journal","volume":"54"},"uris":["http://www.mendeley.com/documents/?uuid=ed050f31-6b85-4385-8ba4-d3235a89cddf"]},{"id":"ITEM-4","itemData":{"DOI":"10.1111/icad.12468","ISSN":"1752-458X","abstract":"at Nature for nine months before a decision was made to not publish the exchange. We now share the comment and response from Seibold et al. 2019 as preprints to further the discussion of how best to model and interpret population and biodiversity change. For Seibold et al.'s reply to our response, please see: Insights from regional and short-term biodiversity monitoring datasets are valuable. A Reply to Daskalova et al. 2020 EcoEvoRxiv doi:10.32942/osf.io/cg3zs https://ecoevorxiv.org/zyhf7 Summary An accumulating number of studies are reporting severe biomass, abundance and/or species richness declines of insects (Hallmann et al., 2017; Lister &amp; Garcia, 2018; Seibold et al., 2019; Sánchez-Bayo &amp; Wyckhuys, 2019). Collectively these studies aim to quantify the net change in invertebrate populations and/or community composition over time and to establish whether such changes can be attributed to anthropogenic drivers (Macgregor, analysed a dataset of arthropod biomass, abundance and species richness from forest and grassland plots in a region of Germany and report significant declines of up to 78% over the time period of 2008 to 2018 (Seibold et al., 2019). However, their analysis did not account for the confounding effects of temporal pseudoreplication of observations from the same years. We show that simply by including a year random effect in the statistical models and thereby accounting for the common conditions experienced by observations from proximal sites in the same years, four of the five reported declines become non-significant out of six tests overall. To place their estimated effect sizes and those of other recent studies of insect declines in a broader geographic context, we analysed invertebrate biomass, abundance and species richness over time from 640 time series from 1167 sites around the world. We found that the average trend across the terrestrial and freshwater realms was not significantly distinguishable from no net change. Shorter time series that are likely to be most affected by sampling error variance-such as those reported in Seibold et al. 2019-yielded the most extreme estimates of decline or increase. We suggest that the uncritical media uptake of extreme negative trends from short time series may be serving to exaggerate the speed of \"insect Armageddon\" and could eventually undermine public","author":[{"dropping-particle":"","family":"Daskalova","given":"Gergana N.","non-dropping-particle":"","parse-names":false,"suffix":""},{"dropping-particle":"","family":"Phillimore","given":"Albert B.","non-dropping-particle":"","parse-names":false,"suffix":""},{"dropping-particle":"","family":"Myers</w:instrText>
      </w:r>
      <w:r>
        <w:rPr>
          <w:rFonts w:ascii="Cambria Math" w:hAnsi="Cambria Math" w:cs="Cambria Math"/>
          <w:lang w:val="en-GB"/>
        </w:rPr>
        <w:instrText>‐</w:instrText>
      </w:r>
      <w:r>
        <w:rPr>
          <w:lang w:val="en-GB"/>
        </w:rPr>
        <w:instrText>Smith","given":"Isla H.","non-dropping-particle":"","parse-names":false,"suffix":""}],"container-title":"Insect Conservation and Diversity","id":"ITEM-4","issue":"1","issued":{"date-parts":[["2021"]]},"page":"149-154","title":" Accounting for year effects and sampling error in temporal analyses of invertebrate population and biodiversity change: a comment on Seibold et al . 2019 ","type":"article-journal","volume":"14"},"uris":["http://www.mendeley.com/documents/?uuid=a87c0427-6dd8-453b-9175-409113a86749"]},{"id":"ITEM-5","itemData":{"DOI":"10.1098/rsos.181870","ISBN":"0000000241151","ISSN":"20545703","abstract":"Uncertainty is an inherent part of knowledge, and yet in an era of contested expertise, many shy away from openly communicating their uncertainty about what they know, fearful of their audience's reaction. But what effect does communication of such epistemic uncertainty have? Empirical research is widely scattered across many disciplines. This interdisciplinary review structures and summarizes current practice and research across domains, combining a statistical and psychological perspective. This informs a framework for uncertainty communication in which we identify three objects of uncertainty-facts, numbers and science-and two levels of uncertainty: direct and indirect. An examination of current practices provides a scale of nine expressions of direct uncertainty. We discuss attempts to codify indirect uncertainty in terms of quality of the underlying evidence. We review the limited literature about the effects of communicating epistemic uncertainty on cognition, affect, trust and decision-making. While there is some evidence that communicating epistemic uncertainty does not necessarily affect audiences negatively, impact can vary between individuals and communication formats. Case studies in economic statistics and climate change illustrate our framework in action. We conclude with advice to guide both communicators and future researchers in this important but so far rather neglected field.","author":[{"dropping-particle":"","family":"Bles","given":"Anne Marthe","non-dropping-particle":"Van Der","parse-names":false,"suffix":""},{"dropping-particle":"","family":"Linden","given":"Sander","non-dropping-particle":"Van Der","parse-names":false,"suffix":""},{"dropping-particle":"","family":"Freeman","given":"Alexandra L.J.","non-dropping-particle":"","parse-names":false,"suffix":""},{"dropping-particle":"","family":"Mitchell","given":"James","non-dropping-particle":"","parse-names":false,"suffix":""},{"dropping-particle":"","family":"Galvao","given":"Ana B.","non-dropping-particle":"","parse-names":false,"suffix":""},{"dropping-particle":"","family":"Zaval","given":"Lisa","non-dropping-particle":"","parse-names":false,"suffix":""},{"dropping-particle":"","family":"Spiegelhalter","given":"David J.","non-dropping-particle":"","parse-names":false,"suffix":""}],"container-title":"Royal Society Open Science","id":"ITEM-5","issue":"5","issued":{"date-parts":[["2019"]]},"page":"181870","title":"Communicating uncertainty about facts, numbers and science","type":"article-journal","volume":"6"},"uris":["http://www.mendeley.com/documents/?uuid=df6f606f-8c64-4e24-8c99-e9b2e65b4fd5"]}],"mendeley":{"formattedCitation":"(Daskalova et al., 2021; Milner-Gulland and Shea, 2017; Saltelli, 2019; Van Der Bles et al., 2019; Volodina and Challenor, 2021)","plainTextFormattedCitation":"(Daskalova et al., 2021; Milner-Gulland and Shea, 2017; Saltelli, 2019; Van Der Bles et al., 2019; Volodina and Challenor, 2021)","previouslyFormattedCitation":"(Daskalova et al., 2021; Milner-Gulland and Shea, 2017; Saltelli, 2019; Van Der Bles et al., 2019; Volodina and Challenor, 2021)"},"properties":{"noteIndex":0},"schema":"https://github.com/citation-style-language/schema/raw/master/csl-citation.json"}</w:instrText>
      </w:r>
      <w:r>
        <w:rPr>
          <w:lang w:val="en-GB"/>
        </w:rPr>
        <w:fldChar w:fldCharType="separate"/>
      </w:r>
      <w:r>
        <w:rPr>
          <w:bCs/>
          <w:noProof/>
          <w:color w:val="000000" w:themeColor="text1"/>
          <w:lang w:val="en-GB"/>
        </w:rPr>
        <w:t>(Daskalova et al., 2021; Milner-Gulland and Shea, 2017; Saltelli, 2019; Van Der Bles et al., 2019; Volodina and Challenor, 2021)</w:t>
      </w:r>
      <w:r>
        <w:rPr>
          <w:lang w:val="en-GB"/>
        </w:rPr>
        <w:fldChar w:fldCharType="end"/>
      </w:r>
      <w:r>
        <w:rPr>
          <w:bCs/>
          <w:color w:val="000000" w:themeColor="text1"/>
          <w:lang w:val="en-GB"/>
        </w:rPr>
        <w:t xml:space="preserve">, </w:t>
      </w:r>
      <w:r>
        <w:rPr>
          <w:lang w:val="en-GB"/>
        </w:rPr>
        <w:t xml:space="preserve">but the actual state of quantification and reporting in publications has not been assessed. To address this, we take a snapshot of the state of model-related uncertainty reporting from papers published at the end of 2019 across seven scientific </w:t>
      </w:r>
      <w:r w:rsidRPr="001A5DAF">
        <w:rPr>
          <w:lang w:val="en-GB"/>
        </w:rPr>
        <w:t>fields (</w:t>
      </w:r>
      <w:r w:rsidR="0079053E" w:rsidRPr="001A5DAF">
        <w:rPr>
          <w:lang w:val="en-GB"/>
        </w:rPr>
        <w:t>p</w:t>
      </w:r>
      <w:r w:rsidR="00895CD7" w:rsidRPr="001A5DAF">
        <w:rPr>
          <w:lang w:val="en-GB"/>
        </w:rPr>
        <w:t>apers assessed:</w:t>
      </w:r>
      <w:r w:rsidR="0079053E" w:rsidRPr="001A5DAF">
        <w:rPr>
          <w:lang w:val="en-GB"/>
        </w:rPr>
        <w:t xml:space="preserve"> N = </w:t>
      </w:r>
      <w:r w:rsidR="00C255C1">
        <w:rPr>
          <w:lang w:val="en-GB"/>
        </w:rPr>
        <w:t>5</w:t>
      </w:r>
      <w:r w:rsidR="00F57B14">
        <w:rPr>
          <w:lang w:val="en-GB"/>
        </w:rPr>
        <w:t>45</w:t>
      </w:r>
      <w:r w:rsidR="0079053E" w:rsidRPr="001A5DAF">
        <w:rPr>
          <w:lang w:val="en-GB"/>
        </w:rPr>
        <w:t>, papers remaining in analysis:</w:t>
      </w:r>
      <w:r w:rsidR="00895CD7" w:rsidRPr="001A5DAF">
        <w:rPr>
          <w:lang w:val="en-GB"/>
        </w:rPr>
        <w:t xml:space="preserve"> </w:t>
      </w:r>
      <w:r w:rsidRPr="001A5DAF">
        <w:rPr>
          <w:lang w:val="en-GB"/>
        </w:rPr>
        <w:t xml:space="preserve">N = </w:t>
      </w:r>
      <w:r w:rsidR="0079053E" w:rsidRPr="001A5DAF">
        <w:rPr>
          <w:lang w:val="en-GB"/>
        </w:rPr>
        <w:t>6</w:t>
      </w:r>
      <w:r w:rsidR="00812265">
        <w:rPr>
          <w:lang w:val="en-GB"/>
        </w:rPr>
        <w:t>6</w:t>
      </w:r>
      <w:r w:rsidRPr="001A5DAF">
        <w:rPr>
          <w:lang w:val="en-GB"/>
        </w:rPr>
        <w:t xml:space="preserve"> for Climate Science, 9</w:t>
      </w:r>
      <w:r w:rsidR="00BD4033" w:rsidRPr="001A5DAF">
        <w:rPr>
          <w:lang w:val="en-GB"/>
        </w:rPr>
        <w:t>1</w:t>
      </w:r>
      <w:r w:rsidRPr="001A5DAF">
        <w:rPr>
          <w:lang w:val="en-GB"/>
        </w:rPr>
        <w:t xml:space="preserve"> for Ecology, 5</w:t>
      </w:r>
      <w:r w:rsidR="0079053E" w:rsidRPr="001A5DAF">
        <w:rPr>
          <w:lang w:val="en-GB"/>
        </w:rPr>
        <w:t>6</w:t>
      </w:r>
      <w:r w:rsidRPr="001A5DAF">
        <w:rPr>
          <w:lang w:val="en-GB"/>
        </w:rPr>
        <w:t xml:space="preserve"> for Evolution, 3</w:t>
      </w:r>
      <w:r w:rsidR="00BD4033" w:rsidRPr="001A5DAF">
        <w:rPr>
          <w:lang w:val="en-GB"/>
        </w:rPr>
        <w:t>4</w:t>
      </w:r>
      <w:r w:rsidRPr="001A5DAF">
        <w:rPr>
          <w:lang w:val="en-GB"/>
        </w:rPr>
        <w:t xml:space="preserve"> for Health Science, 89 for Neuroscience, 5</w:t>
      </w:r>
      <w:r w:rsidR="00E301DF">
        <w:rPr>
          <w:lang w:val="en-GB"/>
        </w:rPr>
        <w:t>8</w:t>
      </w:r>
      <w:r w:rsidRPr="001A5DAF">
        <w:rPr>
          <w:lang w:val="en-GB"/>
        </w:rPr>
        <w:t xml:space="preserve"> for Oceanography, and 9</w:t>
      </w:r>
      <w:r w:rsidR="0079053E" w:rsidRPr="001A5DAF">
        <w:rPr>
          <w:lang w:val="en-GB"/>
        </w:rPr>
        <w:t>3</w:t>
      </w:r>
      <w:r w:rsidRPr="001A5DAF">
        <w:rPr>
          <w:lang w:val="en-GB"/>
        </w:rPr>
        <w:t xml:space="preserve"> for Political Science, Total = </w:t>
      </w:r>
      <w:r w:rsidR="00895CD7" w:rsidRPr="001A5DAF">
        <w:rPr>
          <w:lang w:val="en-GB"/>
        </w:rPr>
        <w:t>4</w:t>
      </w:r>
      <w:r w:rsidR="00C33D21">
        <w:rPr>
          <w:lang w:val="en-GB"/>
        </w:rPr>
        <w:t>8</w:t>
      </w:r>
      <w:r w:rsidR="00812265">
        <w:rPr>
          <w:lang w:val="en-GB"/>
        </w:rPr>
        <w:t>0</w:t>
      </w:r>
      <w:r w:rsidR="00895CD7" w:rsidRPr="001A5DAF">
        <w:rPr>
          <w:lang w:val="en-GB"/>
        </w:rPr>
        <w:t>)</w:t>
      </w:r>
      <w:r>
        <w:rPr>
          <w:lang w:val="en-GB"/>
        </w:rPr>
        <w:t xml:space="preserve"> to evaluate how they quantify and report model uncertainty in the key sources outlined above. </w:t>
      </w:r>
      <w:r w:rsidR="00C11745" w:rsidRPr="00C11745">
        <w:t>These fields were chosen to represent a range of scientific disciplines that span broad subject areas (biological, physical, and one social science) but all have applied outcomes. Final field choice was determined by the collaborative network available to the lead author and those authors that had time to complete the systematic audit. Papers for each field were chosen by taking all original research papers from two field representative journals per discipline from the end of 2019</w:t>
      </w:r>
      <w:r w:rsidR="00C11745">
        <w:t xml:space="preserve"> (further details are available in the STAR Methods)</w:t>
      </w:r>
      <w:r w:rsidR="00C11745" w:rsidRPr="00C11745">
        <w:t>.</w:t>
      </w:r>
    </w:p>
    <w:p w14:paraId="60647342" w14:textId="77777777" w:rsidR="00644FDF" w:rsidRDefault="00644FDF">
      <w:pPr>
        <w:ind w:left="1080" w:hanging="360"/>
        <w:rPr>
          <w:i/>
          <w:lang w:val="en-GB"/>
        </w:rPr>
      </w:pPr>
    </w:p>
    <w:p w14:paraId="08A69E4B" w14:textId="77777777" w:rsidR="00644FDF" w:rsidRDefault="00C732FA">
      <w:pPr>
        <w:rPr>
          <w:b/>
          <w:bCs/>
          <w:iCs/>
          <w:sz w:val="28"/>
          <w:szCs w:val="28"/>
          <w:lang w:val="en-GB"/>
        </w:rPr>
      </w:pPr>
      <w:r>
        <w:rPr>
          <w:b/>
          <w:bCs/>
          <w:iCs/>
          <w:sz w:val="28"/>
          <w:szCs w:val="28"/>
          <w:lang w:val="en-GB"/>
        </w:rPr>
        <w:t>How well are we currently doing?</w:t>
      </w:r>
    </w:p>
    <w:p w14:paraId="7B136BA0" w14:textId="77777777" w:rsidR="00644FDF" w:rsidRDefault="00644FDF">
      <w:pPr>
        <w:rPr>
          <w:i/>
          <w:sz w:val="20"/>
          <w:szCs w:val="20"/>
          <w:lang w:val="en-GB"/>
        </w:rPr>
      </w:pPr>
    </w:p>
    <w:p w14:paraId="3314C4CC" w14:textId="5F96433D" w:rsidR="00644FDF" w:rsidRDefault="00C732FA">
      <w:pPr>
        <w:rPr>
          <w:lang w:val="en-GB"/>
        </w:rPr>
      </w:pPr>
      <w:r>
        <w:rPr>
          <w:lang w:val="en-GB"/>
        </w:rPr>
        <w:t>The results of our snapshot assessment show that no field currently has a complete and consistent consideration of their model uncertainties (see Figure 1). However, across fields we get much closer to achieving this, offering opportunities for improvement; all four sources of uncertainty are quantified in at least 2</w:t>
      </w:r>
      <w:r w:rsidR="00244B7D">
        <w:rPr>
          <w:lang w:val="en-GB"/>
        </w:rPr>
        <w:t>0</w:t>
      </w:r>
      <w:r>
        <w:rPr>
          <w:lang w:val="en-GB"/>
        </w:rPr>
        <w:t xml:space="preserve">% of instances within at least one field, with three sources having 50% or greater quantification in at least one field. Fields with low reporting of particular sources of uncertainty can learn from fields with high reporting of those sources. The one area where all fields fail to quantify uncertainty the majority of the time is that from explanatory variables. The fields that perform best here are Oceanography and Climate Science, each reporting uncertainty in </w:t>
      </w:r>
      <w:r w:rsidR="00244B7D">
        <w:rPr>
          <w:lang w:val="en-GB"/>
        </w:rPr>
        <w:t xml:space="preserve">just under </w:t>
      </w:r>
      <w:r>
        <w:rPr>
          <w:lang w:val="en-GB"/>
        </w:rPr>
        <w:t>one quarter of papers assessed.</w:t>
      </w:r>
    </w:p>
    <w:p w14:paraId="3ECEA0B3" w14:textId="77777777" w:rsidR="00644FDF" w:rsidRDefault="00644FDF">
      <w:pPr>
        <w:rPr>
          <w:lang w:val="en-GB"/>
        </w:rPr>
      </w:pPr>
    </w:p>
    <w:p w14:paraId="17F7BDA9" w14:textId="77777777" w:rsidR="00644FDF" w:rsidRDefault="00C732FA">
      <w:pPr>
        <w:rPr>
          <w:lang w:val="en-GB"/>
        </w:rPr>
      </w:pPr>
      <w:r>
        <w:rPr>
          <w:noProof/>
          <w:lang w:val="es-ES" w:eastAsia="es-ES"/>
        </w:rPr>
        <w:lastRenderedPageBreak/>
        <w:drawing>
          <wp:inline distT="0" distB="0" distL="0" distR="0" wp14:anchorId="25FBDED6" wp14:editId="05402219">
            <wp:extent cx="5473700" cy="36491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3700" cy="3649133"/>
                    </a:xfrm>
                    <a:prstGeom prst="rect">
                      <a:avLst/>
                    </a:prstGeom>
                  </pic:spPr>
                </pic:pic>
              </a:graphicData>
            </a:graphic>
          </wp:inline>
        </w:drawing>
      </w:r>
    </w:p>
    <w:p w14:paraId="1633AC94" w14:textId="38804B1F" w:rsidR="00644FDF" w:rsidRDefault="00C732FA">
      <w:pPr>
        <w:rPr>
          <w:iCs/>
          <w:sz w:val="20"/>
          <w:szCs w:val="20"/>
          <w:lang w:val="en-GB"/>
        </w:rPr>
      </w:pPr>
      <w:r>
        <w:rPr>
          <w:b/>
          <w:bCs/>
          <w:i/>
          <w:sz w:val="20"/>
          <w:szCs w:val="20"/>
          <w:lang w:val="en-GB"/>
        </w:rPr>
        <w:t>F</w:t>
      </w:r>
      <w:r w:rsidR="00F225B6">
        <w:rPr>
          <w:b/>
          <w:bCs/>
          <w:i/>
          <w:sz w:val="20"/>
          <w:szCs w:val="20"/>
          <w:lang w:val="en-GB"/>
        </w:rPr>
        <w:t>igure</w:t>
      </w:r>
      <w:r>
        <w:rPr>
          <w:b/>
          <w:bCs/>
          <w:i/>
          <w:sz w:val="20"/>
          <w:szCs w:val="20"/>
          <w:lang w:val="en-GB"/>
        </w:rPr>
        <w:t xml:space="preserve"> 1: Heat map of the percentage of papers that report uncertainty from each source split by field.</w:t>
      </w:r>
      <w:r>
        <w:rPr>
          <w:i/>
          <w:sz w:val="20"/>
          <w:szCs w:val="20"/>
          <w:lang w:val="en-GB"/>
        </w:rPr>
        <w:t xml:space="preserve"> Positive results include papers that quantified and reported uncertainty arising from each source</w:t>
      </w:r>
      <w:r w:rsidR="00C66E28">
        <w:rPr>
          <w:i/>
          <w:sz w:val="20"/>
          <w:szCs w:val="20"/>
          <w:lang w:val="en-GB"/>
        </w:rPr>
        <w:t xml:space="preserve">, when uncertainty was applicable. Cases where no uncertainty was present in a source were removed. </w:t>
      </w:r>
      <w:r>
        <w:rPr>
          <w:i/>
          <w:sz w:val="20"/>
          <w:szCs w:val="20"/>
          <w:lang w:val="en-GB"/>
        </w:rPr>
        <w:t xml:space="preserve">Only one focal model was considered per paper assessed. </w:t>
      </w:r>
      <w:r w:rsidR="009836F1">
        <w:rPr>
          <w:i/>
          <w:sz w:val="20"/>
          <w:szCs w:val="20"/>
          <w:lang w:val="en-GB"/>
        </w:rPr>
        <w:t>(</w:t>
      </w:r>
      <w:r w:rsidRPr="00E45F34">
        <w:rPr>
          <w:i/>
          <w:sz w:val="20"/>
          <w:szCs w:val="20"/>
          <w:lang w:val="en-GB"/>
        </w:rPr>
        <w:t xml:space="preserve">N = </w:t>
      </w:r>
      <w:r w:rsidR="009836F1" w:rsidRPr="00E45F34">
        <w:rPr>
          <w:i/>
          <w:sz w:val="20"/>
          <w:szCs w:val="20"/>
          <w:lang w:val="en-GB"/>
        </w:rPr>
        <w:t>6</w:t>
      </w:r>
      <w:r w:rsidR="00B80356">
        <w:rPr>
          <w:i/>
          <w:sz w:val="20"/>
          <w:szCs w:val="20"/>
          <w:lang w:val="en-GB"/>
        </w:rPr>
        <w:t>6</w:t>
      </w:r>
      <w:r w:rsidRPr="00E45F34">
        <w:rPr>
          <w:i/>
          <w:sz w:val="20"/>
          <w:szCs w:val="20"/>
          <w:lang w:val="en-GB"/>
        </w:rPr>
        <w:t xml:space="preserve"> for Climate Science, 8</w:t>
      </w:r>
      <w:r w:rsidR="009836F1" w:rsidRPr="00E45F34">
        <w:rPr>
          <w:i/>
          <w:sz w:val="20"/>
          <w:szCs w:val="20"/>
          <w:lang w:val="en-GB"/>
        </w:rPr>
        <w:t>9</w:t>
      </w:r>
      <w:r w:rsidRPr="00E45F34">
        <w:rPr>
          <w:i/>
          <w:sz w:val="20"/>
          <w:szCs w:val="20"/>
          <w:lang w:val="en-GB"/>
        </w:rPr>
        <w:t xml:space="preserve"> for Ecology, 5</w:t>
      </w:r>
      <w:r w:rsidR="009836F1" w:rsidRPr="00E45F34">
        <w:rPr>
          <w:i/>
          <w:sz w:val="20"/>
          <w:szCs w:val="20"/>
          <w:lang w:val="en-GB"/>
        </w:rPr>
        <w:t>5</w:t>
      </w:r>
      <w:r w:rsidRPr="00E45F34">
        <w:rPr>
          <w:i/>
          <w:sz w:val="20"/>
          <w:szCs w:val="20"/>
          <w:lang w:val="en-GB"/>
        </w:rPr>
        <w:t xml:space="preserve"> for Evolution, </w:t>
      </w:r>
      <w:r w:rsidR="009836F1" w:rsidRPr="00E45F34">
        <w:rPr>
          <w:i/>
          <w:sz w:val="20"/>
          <w:szCs w:val="20"/>
          <w:lang w:val="en-GB"/>
        </w:rPr>
        <w:t>33</w:t>
      </w:r>
      <w:r w:rsidRPr="00E45F34">
        <w:rPr>
          <w:i/>
          <w:sz w:val="20"/>
          <w:szCs w:val="20"/>
          <w:lang w:val="en-GB"/>
        </w:rPr>
        <w:t xml:space="preserve"> for Health Science, 8</w:t>
      </w:r>
      <w:r w:rsidR="009836F1" w:rsidRPr="00E45F34">
        <w:rPr>
          <w:i/>
          <w:sz w:val="20"/>
          <w:szCs w:val="20"/>
          <w:lang w:val="en-GB"/>
        </w:rPr>
        <w:t>8</w:t>
      </w:r>
      <w:r w:rsidRPr="00E45F34">
        <w:rPr>
          <w:i/>
          <w:sz w:val="20"/>
          <w:szCs w:val="20"/>
          <w:lang w:val="en-GB"/>
        </w:rPr>
        <w:t xml:space="preserve"> for Neuroscience, 3</w:t>
      </w:r>
      <w:r w:rsidR="009836F1" w:rsidRPr="00E45F34">
        <w:rPr>
          <w:i/>
          <w:sz w:val="20"/>
          <w:szCs w:val="20"/>
          <w:lang w:val="en-GB"/>
        </w:rPr>
        <w:t>8</w:t>
      </w:r>
      <w:r w:rsidRPr="00E45F34">
        <w:rPr>
          <w:i/>
          <w:sz w:val="20"/>
          <w:szCs w:val="20"/>
          <w:lang w:val="en-GB"/>
        </w:rPr>
        <w:t xml:space="preserve"> for Oceanography, and </w:t>
      </w:r>
      <w:r w:rsidR="009836F1" w:rsidRPr="00E45F34">
        <w:rPr>
          <w:i/>
          <w:sz w:val="20"/>
          <w:szCs w:val="20"/>
          <w:lang w:val="en-GB"/>
        </w:rPr>
        <w:t>81</w:t>
      </w:r>
      <w:r w:rsidRPr="00E45F34">
        <w:rPr>
          <w:i/>
          <w:sz w:val="20"/>
          <w:szCs w:val="20"/>
          <w:lang w:val="en-GB"/>
        </w:rPr>
        <w:t xml:space="preserve"> for Political Science</w:t>
      </w:r>
      <w:r>
        <w:rPr>
          <w:i/>
          <w:sz w:val="20"/>
          <w:szCs w:val="20"/>
          <w:lang w:val="en-GB"/>
        </w:rPr>
        <w:t xml:space="preserve">) </w:t>
      </w:r>
    </w:p>
    <w:p w14:paraId="5770555F" w14:textId="77777777" w:rsidR="00644FDF" w:rsidRDefault="00C732FA">
      <w:pPr>
        <w:rPr>
          <w:lang w:val="en-GB"/>
        </w:rPr>
      </w:pPr>
      <w:r>
        <w:rPr>
          <w:lang w:val="en-GB"/>
        </w:rPr>
        <w:t xml:space="preserve"> </w:t>
      </w:r>
    </w:p>
    <w:p w14:paraId="0B8812C7" w14:textId="6CBC4575" w:rsidR="00644FDF" w:rsidRDefault="00C732FA">
      <w:pPr>
        <w:rPr>
          <w:lang w:val="en-GB"/>
        </w:rPr>
      </w:pPr>
      <w:r>
        <w:rPr>
          <w:lang w:val="en-GB"/>
        </w:rPr>
        <w:t>We note that not all lack of quantification or reporting of uncertainty in a particular source represents an omission. There are some cases where quantifying uncertainty from a particular source is implausible, impractical, or unnecessary. Quantifying the uncertainty associated with a particular source may be implausible when the existence of error/bias/missing variables is totally unknown, or if this would necessitate investigation of all possible permutations of model. Examples of impracticality include huge models that would take an unfeasibly long time to run with quantified uncertainty and would be too complex to interpret meaningfully</w:t>
      </w:r>
      <w:r>
        <w:rPr>
          <w:b/>
          <w:bCs/>
          <w:lang w:val="en-GB"/>
        </w:rPr>
        <w:t>,</w:t>
      </w:r>
      <w:r>
        <w:rPr>
          <w:lang w:val="en-GB"/>
        </w:rPr>
        <w:t xml:space="preserve"> or when modelling the uncertainty would require many assumptions due to a lack of knowledge about the true form of bias or error in the data. This is not uncommonly seen in some social science fields, where ambiguous data may mean that it is not be possible to know if data are truthful </w:t>
      </w:r>
      <w:r>
        <w:rPr>
          <w:lang w:val="en-GB"/>
        </w:rPr>
        <w:fldChar w:fldCharType="begin" w:fldLock="1"/>
      </w:r>
      <w:r w:rsidR="00FE4966">
        <w:rPr>
          <w:lang w:val="en-GB"/>
        </w:rPr>
        <w:instrText>ADDIN CSL_CITATION {"citationItems":[{"id":"ITEM-1","itemData":{"author":[{"dropping-particle":"","family":"Bound","given":"J","non-dropping-particle":"","parse-names":false,"suffix":""},{"dropping-particle":"","family":"Brown","given":"C","non-dropping-particle":"","parse-names":false,"suffix":""},{"dropping-particle":"","family":"Mathiowetz","given":"N","non-dropping-particle":"","parse-names":false,"suffix":""}],"container-title":"Handbook of Econometrics","edition":"vol. 5","editor":[{"dropping-particle":"","family":"Heckman","given":"J. J.","non-dropping-particle":"","parse-names":false,"suffix":""},{"dropping-particle":"","family":"Leamer","given":"E","non-dropping-particle":"","parse-names":false,"suffix":""}],"id":"ITEM-1","issued":{"date-parts":[["2001"]]},"page":"3705-37843","publisher":"Elsevier Science","publisher-place":"Amsterdan","title":"Measurement error in survey data","type":"chapter"},"uris":["http://www.mendeley.com/documents/?uuid=9a3ae34f-1a0c-47af-823f-63bc7905f3f5"]},{"id":"ITEM-2","itemData":{"DOI":"10.1086/720458","ISSN":"1537534X","abstract":"I study the overstatement of economic growth in autocracies by comparing self-reported GDP figures to night-time light recorded by satellites from outer space. I show that the night-time-light elasticity of GDP is larger in authoritarian regimes, even accounting for differences in multiple country characteristics. This autocracy gradient in the elasticity is greater when the incentive to exaggerate economic growth is stronger or when the constraints on exaggeration are weaker. The results suggest that autocracies overstate yearly GDP growth by approximately 35%. Adjusting the data for manipulation leads to a more nuanced view on the recent economic success of autocracies.","author":[{"dropping-particle":"","family":"Martínez","given":"Luis R.","non-dropping-particle":"","parse-names":false,"suffix":""}],"container-title":"Journal of Political Economy","id":"ITEM-2","issue":"10","issued":{"date-parts":[["2022"]]},"title":"How Much Should We Trust the Dictator’s GDP Growth Estimates?","type":"article-journal","volume":"130"},"uris":["http://www.mendeley.com/documents/?uuid=f066d57c-6ef1-4907-a2c6-cee68c2362ae"]},{"id":"ITEM-3","itemData":{"DOI":"10.1017/S0022381611000880","ISSN":"00223816","abstract":"Are democracies more transparent than other types of political regimes? Many people believe that the presence of elections alone is not sufficient for a country to be considered democratic and that transparency must be included as part of the definition of political regime. We agree that contestability of elections and transparency of policymaking are analytically distinct concepts. Adopting minimalist approaches to democracy and transparency, we ask a basic question: do electoral politics provide incentives for governments to disseminate data? We thus investigate theoretically the relationship between regime type and the willingness of policy makers to provide credible announcements on policy-relevant variables. And we demonstrate empirically that the availability (or absence) of policy-relevant data is correlated with regime type, even after controlling for GDP per capita, IMF participation, country fixed-effects, and time trends1. Democracies are indeed more transparent. © Copyright Southern Political Science Association 2011.","author":[{"dropping-particle":"","family":"Hollyer","given":"James R.","non-dropping-particle":"","parse-names":false,"suffix":""},{"dropping-particle":"","family":"Rosendorff","given":"B. Peter","non-dropping-particle":"","parse-names":false,"suffix":""},{"dropping-particle":"","family":"Vreeland","given":"James Raymond","non-dropping-particle":"","parse-names":false,"suffix":""}],"container-title":"Journal of Politics","id":"ITEM-3","issue":"4","issued":{"date-parts":[["2011"]]},"page":"1191-1205","title":"Democracy and transparency","type":"article-journal","volume":"73"},"uris":["http://www.mendeley.com/documents/?uuid=cc6a92e3-f3d6-45c7-afd4-b2798f937c60"]}],"mendeley":{"formattedCitation":"(Bound et al., 2001; Hollyer et al., 2011; Martínez, 2022)","plainTextFormattedCitation":"(Bound et al., 2001; Hollyer et al., 2011; Martínez, 2022)","previouslyFormattedCitation":"(Bound et al., 2001; Hollyer et al., 2011; Martínez, 2022)"},"properties":{"noteIndex":0},"schema":"https://github.com/citation-style-language/schema/raw/master/csl-citation.json"}</w:instrText>
      </w:r>
      <w:r>
        <w:rPr>
          <w:lang w:val="en-GB"/>
        </w:rPr>
        <w:fldChar w:fldCharType="separate"/>
      </w:r>
      <w:r w:rsidR="000F225C" w:rsidRPr="000F225C">
        <w:rPr>
          <w:noProof/>
          <w:lang w:val="en-GB"/>
        </w:rPr>
        <w:t>(Bound et al., 2001; Hollyer et al., 2011; Martínez, 2022)</w:t>
      </w:r>
      <w:r>
        <w:rPr>
          <w:lang w:val="en-GB"/>
        </w:rPr>
        <w:fldChar w:fldCharType="end"/>
      </w:r>
      <w:r>
        <w:rPr>
          <w:lang w:val="en-GB"/>
        </w:rPr>
        <w:t xml:space="preserve">. In this case, uncertainty is known to be present in the input data of a model, but the exact form is totally unknown and therefore cannot be practically modelled without multiple assumptions. Ultimately, these assumptions may be more subjective and add greater uncertainty than analysing the data at hand. In these instances, discussion of the possible uncertainties and open acknowledgement of the limitations of the model to address them would be necessary as detailed in our good practice guidelines in Box 2. One example of a nuanced requirement to explicitly quantify uncertainty is for response data in statistical models. Commonly applied statistical methods based on linear models, such as linear regression and ANOVA, do account for uncertainty in the response when estimating uncertainty in parameter estimates. However, they do not report it explicitly. Generally, this lack of reporting does not matter and would not influence results because it is the relationship between the explanatory variables and the response that is of interest scientifically. In other situations, it is necessary to explicitly quantify uncertainty in the response of statistical models. For example, survival of </w:t>
      </w:r>
      <w:r>
        <w:rPr>
          <w:highlight w:val="white"/>
          <w:lang w:val="en-GB"/>
        </w:rPr>
        <w:t xml:space="preserve">wild animals is typically derived from capture-recapture data, </w:t>
      </w:r>
      <w:r w:rsidR="001645C0">
        <w:rPr>
          <w:highlight w:val="white"/>
          <w:lang w:val="en-GB"/>
        </w:rPr>
        <w:t xml:space="preserve">and </w:t>
      </w:r>
      <w:r>
        <w:rPr>
          <w:highlight w:val="white"/>
          <w:lang w:val="en-GB"/>
        </w:rPr>
        <w:t xml:space="preserve">its proper estimation </w:t>
      </w:r>
      <w:r w:rsidR="001645C0">
        <w:rPr>
          <w:highlight w:val="white"/>
          <w:lang w:val="en-GB"/>
        </w:rPr>
        <w:t>requires</w:t>
      </w:r>
      <w:r>
        <w:rPr>
          <w:highlight w:val="white"/>
          <w:lang w:val="en-GB"/>
        </w:rPr>
        <w:t xml:space="preserve"> explicit estimation of both the recapture process (observation) and a survival process. </w:t>
      </w:r>
      <w:r>
        <w:rPr>
          <w:lang w:val="en-GB"/>
        </w:rPr>
        <w:t xml:space="preserve">There are also cases where no applicable </w:t>
      </w:r>
      <w:r>
        <w:rPr>
          <w:lang w:val="en-GB"/>
        </w:rPr>
        <w:lastRenderedPageBreak/>
        <w:t xml:space="preserve">uncertainty is introduced from particular sources (see Figure 2). For example, in experimental studies, the explanatory variable is often a treatment group. These treatment groups are rarely a source of uncertainty in the modelling process, as group membership and treatment conditions are often known with certainty. Large numbers of experimental studies like this are present in Evolution and Health Sciences, and increasingly also in Political Science. A final example to note is when explanatory variables with noise or measurement error are actually the variable you want to represent such as in cases where explanatory variables are used for diagnosis or prognosis. In this case, it is the observed values of the explanatory variable which will be used for clinical use rather than the ‘true’ values and representing the uncertainty between observations and true values would be unnecessary.  </w:t>
      </w:r>
    </w:p>
    <w:p w14:paraId="7E451A08" w14:textId="77777777" w:rsidR="00644FDF" w:rsidRDefault="00644FDF">
      <w:pPr>
        <w:rPr>
          <w:lang w:val="en-GB"/>
        </w:rPr>
      </w:pPr>
    </w:p>
    <w:p w14:paraId="3C049885" w14:textId="77777777" w:rsidR="00644FDF" w:rsidRDefault="00644FDF">
      <w:pPr>
        <w:rPr>
          <w:lang w:val="en-GB"/>
        </w:rPr>
      </w:pPr>
    </w:p>
    <w:p w14:paraId="175C0AA6" w14:textId="77777777" w:rsidR="00644FDF" w:rsidRDefault="00644FDF">
      <w:pPr>
        <w:rPr>
          <w:lang w:val="en-GB"/>
        </w:rPr>
      </w:pPr>
    </w:p>
    <w:p w14:paraId="41113E19" w14:textId="77777777" w:rsidR="00644FDF" w:rsidRDefault="00C732FA">
      <w:pPr>
        <w:rPr>
          <w:iCs/>
          <w:sz w:val="20"/>
          <w:szCs w:val="20"/>
          <w:lang w:val="en-GB"/>
        </w:rPr>
      </w:pPr>
      <w:r>
        <w:rPr>
          <w:iCs/>
          <w:noProof/>
          <w:sz w:val="20"/>
          <w:szCs w:val="20"/>
          <w:lang w:val="es-ES" w:eastAsia="es-ES"/>
        </w:rPr>
        <w:drawing>
          <wp:inline distT="0" distB="0" distL="0" distR="0" wp14:anchorId="0C965776" wp14:editId="5C6050F6">
            <wp:extent cx="5232400" cy="523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2400" cy="5232400"/>
                    </a:xfrm>
                    <a:prstGeom prst="rect">
                      <a:avLst/>
                    </a:prstGeom>
                  </pic:spPr>
                </pic:pic>
              </a:graphicData>
            </a:graphic>
          </wp:inline>
        </w:drawing>
      </w:r>
    </w:p>
    <w:p w14:paraId="4D881CF9" w14:textId="566D0248" w:rsidR="00644FDF" w:rsidRDefault="00C732FA">
      <w:pPr>
        <w:rPr>
          <w:iCs/>
          <w:sz w:val="20"/>
          <w:szCs w:val="20"/>
          <w:lang w:val="en-GB"/>
        </w:rPr>
      </w:pPr>
      <w:r>
        <w:rPr>
          <w:b/>
          <w:bCs/>
          <w:i/>
          <w:sz w:val="20"/>
          <w:szCs w:val="20"/>
          <w:lang w:val="en-GB"/>
        </w:rPr>
        <w:t>F</w:t>
      </w:r>
      <w:r w:rsidR="00AE5D17">
        <w:rPr>
          <w:b/>
          <w:bCs/>
          <w:i/>
          <w:sz w:val="20"/>
          <w:szCs w:val="20"/>
          <w:lang w:val="en-GB"/>
        </w:rPr>
        <w:t>igure</w:t>
      </w:r>
      <w:r>
        <w:rPr>
          <w:b/>
          <w:bCs/>
          <w:i/>
          <w:sz w:val="20"/>
          <w:szCs w:val="20"/>
          <w:lang w:val="en-GB"/>
        </w:rPr>
        <w:t xml:space="preserve"> 2: Distribution of different model types by uncertainty component and field</w:t>
      </w:r>
      <w:r>
        <w:rPr>
          <w:i/>
          <w:sz w:val="20"/>
          <w:szCs w:val="20"/>
          <w:lang w:val="en-GB"/>
        </w:rPr>
        <w:t xml:space="preserve">. A. Presentation of the percentage of models in which there was uncertainty reported, uncertainty missing or no applicable uncertainty for each source component (uncertainty was deemed not applicable if either the component was not relevant to the model or if there was no uncertainty in that component). (N = </w:t>
      </w:r>
      <w:r w:rsidR="00143437">
        <w:rPr>
          <w:i/>
          <w:sz w:val="20"/>
          <w:szCs w:val="20"/>
          <w:lang w:val="en-GB"/>
        </w:rPr>
        <w:t>53</w:t>
      </w:r>
      <w:r>
        <w:rPr>
          <w:i/>
          <w:sz w:val="20"/>
          <w:szCs w:val="20"/>
          <w:lang w:val="en-GB"/>
        </w:rPr>
        <w:t xml:space="preserve"> for dynamical models (including mechanistic), 24</w:t>
      </w:r>
      <w:r w:rsidR="002F0B7E">
        <w:rPr>
          <w:i/>
          <w:sz w:val="20"/>
          <w:szCs w:val="20"/>
          <w:lang w:val="en-GB"/>
        </w:rPr>
        <w:t>7</w:t>
      </w:r>
      <w:r>
        <w:rPr>
          <w:i/>
          <w:sz w:val="20"/>
          <w:szCs w:val="20"/>
          <w:lang w:val="en-GB"/>
        </w:rPr>
        <w:t xml:space="preserve"> for statistical models</w:t>
      </w:r>
      <w:r w:rsidR="00BD1EBC">
        <w:rPr>
          <w:i/>
          <w:sz w:val="20"/>
          <w:szCs w:val="20"/>
          <w:lang w:val="en-GB"/>
        </w:rPr>
        <w:t xml:space="preserve"> (including one mixed analysis)</w:t>
      </w:r>
      <w:r>
        <w:rPr>
          <w:i/>
          <w:sz w:val="20"/>
          <w:szCs w:val="20"/>
          <w:lang w:val="en-GB"/>
        </w:rPr>
        <w:t>, 12 for theoretical models or hybrid statistical/theoretical</w:t>
      </w:r>
      <w:r w:rsidR="00BD1EBC">
        <w:rPr>
          <w:i/>
          <w:sz w:val="20"/>
          <w:szCs w:val="20"/>
          <w:lang w:val="en-GB"/>
        </w:rPr>
        <w:t xml:space="preserve"> or theoretical/qualitative</w:t>
      </w:r>
      <w:r>
        <w:rPr>
          <w:i/>
          <w:sz w:val="20"/>
          <w:szCs w:val="20"/>
          <w:lang w:val="en-GB"/>
        </w:rPr>
        <w:t xml:space="preserve"> models</w:t>
      </w:r>
      <w:r w:rsidR="001F1353">
        <w:rPr>
          <w:i/>
          <w:sz w:val="20"/>
          <w:szCs w:val="20"/>
          <w:lang w:val="en-GB"/>
        </w:rPr>
        <w:t>)</w:t>
      </w:r>
      <w:r>
        <w:rPr>
          <w:i/>
          <w:sz w:val="20"/>
          <w:szCs w:val="20"/>
          <w:lang w:val="en-GB"/>
        </w:rPr>
        <w:t xml:space="preserve">. B. Percentage of model type assessed by field. </w:t>
      </w:r>
    </w:p>
    <w:p w14:paraId="79CC58C4" w14:textId="77777777" w:rsidR="00644FDF" w:rsidRDefault="00644FDF">
      <w:pPr>
        <w:rPr>
          <w:i/>
          <w:sz w:val="20"/>
          <w:szCs w:val="20"/>
          <w:lang w:val="en-GB"/>
        </w:rPr>
      </w:pPr>
    </w:p>
    <w:p w14:paraId="2F764F04" w14:textId="19E2F94F" w:rsidR="00644FDF" w:rsidRDefault="00C732FA">
      <w:pPr>
        <w:rPr>
          <w:lang w:val="en-GB"/>
        </w:rPr>
      </w:pPr>
      <w:r>
        <w:rPr>
          <w:lang w:val="en-GB"/>
        </w:rPr>
        <w:lastRenderedPageBreak/>
        <w:t xml:space="preserve">Which sources of uncertainty were quantified and reported varied between fields but also by model type (see Figure 2). We classified all models in the audited papers into three broad model types: dynamical (a mathematical model based on fundamental understanding of natural processes such as physical or biochemical laws), statistical (a mathematical model that represents a data generation process, </w:t>
      </w:r>
      <w:proofErr w:type="gramStart"/>
      <w:r>
        <w:rPr>
          <w:lang w:val="en-GB"/>
        </w:rPr>
        <w:t>e.g.</w:t>
      </w:r>
      <w:proofErr w:type="gramEnd"/>
      <w:r>
        <w:rPr>
          <w:lang w:val="en-GB"/>
        </w:rPr>
        <w:t xml:space="preserve"> linear regression), and theoretical (a mathematical model designed to illustrate or test a theoretical idea, typically does not include observed data). Variation was found in how often uncertainty was quantified as well as whether any uncertainty was applicable for each source across the model types (Fig</w:t>
      </w:r>
      <w:r w:rsidR="001645C0">
        <w:rPr>
          <w:lang w:val="en-GB"/>
        </w:rPr>
        <w:t>ure</w:t>
      </w:r>
      <w:r>
        <w:rPr>
          <w:lang w:val="en-GB"/>
        </w:rPr>
        <w:t xml:space="preserve"> 2A). While most sources in our framework could contribute uncertainty to the majority of models, theoretical models (including hybrid statistical/theoretical models) were more likely to have source components with no applicable uncertainty. The differences in uncertainty relevance and quantification by model type align partially with the boundaries of the scientific fields considered (see Fig</w:t>
      </w:r>
      <w:r w:rsidR="001645C0">
        <w:rPr>
          <w:lang w:val="en-GB"/>
        </w:rPr>
        <w:t>ure</w:t>
      </w:r>
      <w:r>
        <w:rPr>
          <w:lang w:val="en-GB"/>
        </w:rPr>
        <w:t xml:space="preserve"> 2B) as some fields focus more on dynamical and mechanistic models (Climate Science and Oceanography), while others rely more on statistical models (Health Science, Neuroscience, and Political Science), and some fields are more mixed (Ecology and Evolution). </w:t>
      </w:r>
    </w:p>
    <w:p w14:paraId="68C21103" w14:textId="77777777" w:rsidR="00644FDF" w:rsidRDefault="00C732FA">
      <w:pPr>
        <w:rPr>
          <w:lang w:val="en-GB"/>
        </w:rPr>
      </w:pPr>
      <w:r>
        <w:rPr>
          <w:lang w:val="en-GB"/>
        </w:rPr>
        <w:t xml:space="preserve"> </w:t>
      </w:r>
    </w:p>
    <w:p w14:paraId="781381A5" w14:textId="77777777" w:rsidR="00644FDF" w:rsidRDefault="00C732FA">
      <w:pPr>
        <w:rPr>
          <w:lang w:val="en-GB"/>
        </w:rPr>
      </w:pPr>
      <w:r>
        <w:rPr>
          <w:lang w:val="en-GB"/>
        </w:rPr>
        <w:t>We suggest that differences in uncertainty quantification are driven by differing perceived importance of the sources of uncertainty for each model type and for specific research questions, as well as by practical considerations. For example, parameter estimate uncertainty receives the most consistent acknowledgement for statistical models. This is likely because a fundamental aim of statistical analyses and tools is to estimate and draw inference from unknown parameters, and common standards exist for quantifying their uncertainty. In contrast, the aim of dynamical models is often to predict a response. In this case, uncertainty in the response was quantified most consistently, representing its greater focal importance for this model type in addition to the impracticality of quantifying uncertainty in the huge numbers of parameters and explanatory variables in complex geoscientific models. Additional gaps in uncertainty quantification are driven by lack of tools or guidelines for quantification associated with particular model types and by author omissions and trade-offs.  We present below some opportunities to improve our practice based on our interdisciplinary insight into these challenges.</w:t>
      </w:r>
    </w:p>
    <w:p w14:paraId="1F6183D1" w14:textId="77777777" w:rsidR="00644FDF" w:rsidRDefault="00C732FA">
      <w:pPr>
        <w:rPr>
          <w:lang w:val="en-GB"/>
        </w:rPr>
      </w:pPr>
      <w:r>
        <w:rPr>
          <w:lang w:val="en-GB"/>
        </w:rPr>
        <w:t xml:space="preserve"> </w:t>
      </w:r>
    </w:p>
    <w:p w14:paraId="7B0A998D" w14:textId="77777777" w:rsidR="00644FDF" w:rsidRDefault="00C732FA">
      <w:pPr>
        <w:rPr>
          <w:b/>
          <w:sz w:val="28"/>
          <w:szCs w:val="28"/>
          <w:lang w:val="en-GB"/>
        </w:rPr>
      </w:pPr>
      <w:r>
        <w:rPr>
          <w:b/>
          <w:sz w:val="28"/>
          <w:szCs w:val="28"/>
          <w:lang w:val="en-GB"/>
        </w:rPr>
        <w:t>Cross-disciplinary collaboration highlights opportunities for improvement</w:t>
      </w:r>
    </w:p>
    <w:p w14:paraId="60B1B201" w14:textId="77777777" w:rsidR="00644FDF" w:rsidRDefault="00C732FA">
      <w:pPr>
        <w:rPr>
          <w:lang w:val="en-GB"/>
        </w:rPr>
      </w:pPr>
      <w:r>
        <w:rPr>
          <w:lang w:val="en-GB"/>
        </w:rPr>
        <w:t xml:space="preserve"> </w:t>
      </w:r>
    </w:p>
    <w:p w14:paraId="1C06ACE7" w14:textId="77777777" w:rsidR="00644FDF" w:rsidRDefault="00C732FA">
      <w:pPr>
        <w:rPr>
          <w:lang w:val="en-GB"/>
        </w:rPr>
      </w:pPr>
      <w:r>
        <w:rPr>
          <w:lang w:val="en-GB"/>
        </w:rPr>
        <w:t>Working with a large interdisciplinary team and informed by the results of our assessment of current practices, we identified several opportunities for improvement, summarised in Table 1.</w:t>
      </w:r>
    </w:p>
    <w:p w14:paraId="4723D9E8" w14:textId="77777777" w:rsidR="00644FDF" w:rsidRDefault="00644FDF">
      <w:pPr>
        <w:rPr>
          <w:lang w:val="en-GB"/>
        </w:rPr>
      </w:pPr>
    </w:p>
    <w:p w14:paraId="456B77C4" w14:textId="32D3C29E" w:rsidR="00644FDF" w:rsidRDefault="00C732FA">
      <w:pPr>
        <w:rPr>
          <w:i/>
          <w:lang w:val="en-GB"/>
        </w:rPr>
      </w:pPr>
      <w:r>
        <w:rPr>
          <w:i/>
          <w:sz w:val="20"/>
          <w:szCs w:val="20"/>
          <w:lang w:val="en-GB"/>
        </w:rPr>
        <w:t>T</w:t>
      </w:r>
      <w:r w:rsidR="00BD64A0">
        <w:rPr>
          <w:i/>
          <w:sz w:val="20"/>
          <w:szCs w:val="20"/>
          <w:lang w:val="en-GB"/>
        </w:rPr>
        <w:t xml:space="preserve">able </w:t>
      </w:r>
      <w:r>
        <w:rPr>
          <w:i/>
          <w:sz w:val="20"/>
          <w:szCs w:val="20"/>
          <w:lang w:val="en-GB"/>
        </w:rPr>
        <w:t>1: Table of identified opportunities to improve uncertainty quantification and reporting, including details of the improvement.</w:t>
      </w:r>
    </w:p>
    <w:p w14:paraId="46DE75EA" w14:textId="77777777" w:rsidR="00644FDF" w:rsidRDefault="00644FDF">
      <w:pPr>
        <w:rPr>
          <w:i/>
          <w:lang w:val="en-GB"/>
        </w:rPr>
      </w:pPr>
    </w:p>
    <w:tbl>
      <w:tblPr>
        <w:tblStyle w:val="PlainTable3"/>
        <w:tblW w:w="0" w:type="auto"/>
        <w:tblLook w:val="0600" w:firstRow="0" w:lastRow="0" w:firstColumn="0" w:lastColumn="0" w:noHBand="1" w:noVBand="1"/>
      </w:tblPr>
      <w:tblGrid>
        <w:gridCol w:w="1942"/>
        <w:gridCol w:w="3612"/>
        <w:gridCol w:w="2565"/>
        <w:gridCol w:w="2409"/>
      </w:tblGrid>
      <w:tr w:rsidR="00644FDF" w14:paraId="12FBFFDA" w14:textId="77777777" w:rsidTr="00644FDF">
        <w:trPr>
          <w:trHeight w:val="690"/>
        </w:trPr>
        <w:tc>
          <w:tcPr>
            <w:tcW w:w="0" w:type="auto"/>
            <w:tcBorders>
              <w:top w:val="single" w:sz="4" w:space="0" w:color="auto"/>
              <w:left w:val="single" w:sz="4" w:space="0" w:color="auto"/>
              <w:bottom w:val="single" w:sz="4" w:space="0" w:color="auto"/>
            </w:tcBorders>
          </w:tcPr>
          <w:p w14:paraId="5F5E786F" w14:textId="77777777" w:rsidR="00644FDF" w:rsidRDefault="00C732FA">
            <w:pPr>
              <w:widowControl w:val="0"/>
              <w:ind w:left="140" w:right="140"/>
              <w:jc w:val="center"/>
              <w:rPr>
                <w:b/>
                <w:i/>
                <w:sz w:val="20"/>
                <w:szCs w:val="20"/>
                <w:lang w:val="en-GB"/>
              </w:rPr>
            </w:pPr>
            <w:r>
              <w:rPr>
                <w:b/>
                <w:i/>
                <w:sz w:val="20"/>
                <w:szCs w:val="20"/>
                <w:lang w:val="en-GB"/>
              </w:rPr>
              <w:t>Identified opportunity</w:t>
            </w:r>
          </w:p>
        </w:tc>
        <w:tc>
          <w:tcPr>
            <w:tcW w:w="0" w:type="auto"/>
            <w:tcBorders>
              <w:top w:val="single" w:sz="4" w:space="0" w:color="auto"/>
              <w:bottom w:val="single" w:sz="4" w:space="0" w:color="auto"/>
            </w:tcBorders>
          </w:tcPr>
          <w:p w14:paraId="463F1FC7" w14:textId="77777777" w:rsidR="00644FDF" w:rsidRDefault="00C732FA">
            <w:pPr>
              <w:widowControl w:val="0"/>
              <w:ind w:left="140" w:right="140"/>
              <w:jc w:val="center"/>
              <w:rPr>
                <w:b/>
                <w:i/>
                <w:sz w:val="20"/>
                <w:szCs w:val="20"/>
                <w:lang w:val="en-GB"/>
              </w:rPr>
            </w:pPr>
            <w:r>
              <w:rPr>
                <w:b/>
                <w:i/>
                <w:sz w:val="20"/>
                <w:szCs w:val="20"/>
                <w:lang w:val="en-GB"/>
              </w:rPr>
              <w:t>Detail</w:t>
            </w:r>
          </w:p>
        </w:tc>
        <w:tc>
          <w:tcPr>
            <w:tcW w:w="0" w:type="auto"/>
            <w:tcBorders>
              <w:top w:val="single" w:sz="4" w:space="0" w:color="auto"/>
              <w:bottom w:val="single" w:sz="4" w:space="0" w:color="auto"/>
            </w:tcBorders>
          </w:tcPr>
          <w:p w14:paraId="7EB2ECE1" w14:textId="77777777" w:rsidR="00644FDF" w:rsidRDefault="00C732FA">
            <w:pPr>
              <w:widowControl w:val="0"/>
              <w:ind w:left="140" w:right="140"/>
              <w:jc w:val="center"/>
              <w:rPr>
                <w:b/>
                <w:i/>
                <w:sz w:val="20"/>
                <w:szCs w:val="20"/>
                <w:lang w:val="en-GB"/>
              </w:rPr>
            </w:pPr>
            <w:r>
              <w:rPr>
                <w:b/>
                <w:i/>
                <w:sz w:val="20"/>
                <w:szCs w:val="20"/>
                <w:lang w:val="en-GB"/>
              </w:rPr>
              <w:t>Exemplary fields</w:t>
            </w:r>
          </w:p>
        </w:tc>
        <w:tc>
          <w:tcPr>
            <w:tcW w:w="0" w:type="auto"/>
            <w:tcBorders>
              <w:top w:val="single" w:sz="4" w:space="0" w:color="auto"/>
              <w:bottom w:val="single" w:sz="4" w:space="0" w:color="auto"/>
              <w:right w:val="single" w:sz="4" w:space="0" w:color="auto"/>
            </w:tcBorders>
          </w:tcPr>
          <w:p w14:paraId="313680E8" w14:textId="77777777" w:rsidR="00644FDF" w:rsidRDefault="00C732FA">
            <w:pPr>
              <w:widowControl w:val="0"/>
              <w:ind w:left="140" w:right="140"/>
              <w:jc w:val="center"/>
              <w:rPr>
                <w:b/>
                <w:i/>
                <w:sz w:val="20"/>
                <w:szCs w:val="20"/>
                <w:lang w:val="en-GB"/>
              </w:rPr>
            </w:pPr>
            <w:r>
              <w:rPr>
                <w:b/>
                <w:i/>
                <w:sz w:val="20"/>
                <w:szCs w:val="20"/>
                <w:lang w:val="en-GB"/>
              </w:rPr>
              <w:t>Fields that can benefit</w:t>
            </w:r>
          </w:p>
        </w:tc>
      </w:tr>
      <w:tr w:rsidR="00644FDF" w14:paraId="59EE6D4B" w14:textId="77777777" w:rsidTr="00644FDF">
        <w:trPr>
          <w:trHeight w:val="4470"/>
        </w:trPr>
        <w:tc>
          <w:tcPr>
            <w:tcW w:w="0" w:type="auto"/>
            <w:tcBorders>
              <w:top w:val="single" w:sz="4" w:space="0" w:color="auto"/>
              <w:left w:val="single" w:sz="4" w:space="0" w:color="auto"/>
              <w:bottom w:val="single" w:sz="4" w:space="0" w:color="auto"/>
            </w:tcBorders>
          </w:tcPr>
          <w:p w14:paraId="6893112E" w14:textId="77777777" w:rsidR="00644FDF" w:rsidRDefault="00C732FA">
            <w:pPr>
              <w:widowControl w:val="0"/>
              <w:ind w:left="140" w:right="140"/>
              <w:rPr>
                <w:i/>
                <w:sz w:val="20"/>
                <w:szCs w:val="20"/>
                <w:lang w:val="en-GB"/>
              </w:rPr>
            </w:pPr>
            <w:r>
              <w:rPr>
                <w:i/>
                <w:sz w:val="20"/>
                <w:szCs w:val="20"/>
                <w:lang w:val="en-GB"/>
              </w:rPr>
              <w:lastRenderedPageBreak/>
              <w:t>Greater consistency</w:t>
            </w:r>
          </w:p>
        </w:tc>
        <w:tc>
          <w:tcPr>
            <w:tcW w:w="0" w:type="auto"/>
            <w:tcBorders>
              <w:top w:val="single" w:sz="4" w:space="0" w:color="auto"/>
              <w:bottom w:val="single" w:sz="4" w:space="0" w:color="auto"/>
            </w:tcBorders>
          </w:tcPr>
          <w:p w14:paraId="6D06FA62" w14:textId="77777777" w:rsidR="00644FDF" w:rsidRDefault="00C732FA">
            <w:pPr>
              <w:widowControl w:val="0"/>
              <w:ind w:left="140" w:right="140"/>
              <w:rPr>
                <w:i/>
                <w:sz w:val="20"/>
                <w:szCs w:val="20"/>
                <w:lang w:val="en-GB"/>
              </w:rPr>
            </w:pPr>
            <w:r>
              <w:rPr>
                <w:i/>
                <w:sz w:val="18"/>
                <w:szCs w:val="18"/>
                <w:lang w:val="en-GB"/>
              </w:rPr>
              <w:t>Use overarching source framework to identify potential routes for uncertainty to enter models, then follow model type specific guidelines of good practice for quantifying and considering these sources</w:t>
            </w:r>
          </w:p>
        </w:tc>
        <w:tc>
          <w:tcPr>
            <w:tcW w:w="0" w:type="auto"/>
            <w:tcBorders>
              <w:top w:val="single" w:sz="4" w:space="0" w:color="auto"/>
              <w:bottom w:val="single" w:sz="4" w:space="0" w:color="auto"/>
            </w:tcBorders>
          </w:tcPr>
          <w:p w14:paraId="3FC0784A" w14:textId="77777777" w:rsidR="00644FDF" w:rsidRDefault="00C732FA">
            <w:pPr>
              <w:widowControl w:val="0"/>
              <w:ind w:left="140" w:right="140"/>
              <w:rPr>
                <w:i/>
                <w:sz w:val="20"/>
                <w:szCs w:val="20"/>
                <w:lang w:val="en-GB"/>
              </w:rPr>
            </w:pPr>
            <w:r>
              <w:rPr>
                <w:i/>
                <w:sz w:val="20"/>
                <w:szCs w:val="20"/>
                <w:lang w:val="en-GB"/>
              </w:rPr>
              <w:t>For statistical models: Ecology, Evolution, Health Science, Neuroscience, Political Science</w:t>
            </w:r>
          </w:p>
          <w:p w14:paraId="55D37DEE" w14:textId="77777777" w:rsidR="00644FDF" w:rsidRDefault="00C732FA">
            <w:pPr>
              <w:widowControl w:val="0"/>
              <w:ind w:left="140" w:right="140"/>
              <w:rPr>
                <w:i/>
                <w:sz w:val="20"/>
                <w:szCs w:val="20"/>
                <w:lang w:val="en-GB"/>
              </w:rPr>
            </w:pPr>
            <w:r>
              <w:rPr>
                <w:i/>
                <w:sz w:val="20"/>
                <w:szCs w:val="20"/>
                <w:lang w:val="en-GB"/>
              </w:rPr>
              <w:t xml:space="preserve"> </w:t>
            </w:r>
          </w:p>
          <w:p w14:paraId="2D930581" w14:textId="7B6A139C" w:rsidR="00644FDF" w:rsidRDefault="00C732FA">
            <w:pPr>
              <w:widowControl w:val="0"/>
              <w:ind w:left="140" w:right="140"/>
              <w:rPr>
                <w:i/>
                <w:sz w:val="20"/>
                <w:szCs w:val="20"/>
                <w:lang w:val="en-GB"/>
              </w:rPr>
            </w:pPr>
            <w:r>
              <w:rPr>
                <w:i/>
                <w:sz w:val="20"/>
                <w:szCs w:val="20"/>
                <w:lang w:val="en-GB"/>
              </w:rPr>
              <w:t>For dynamical models:</w:t>
            </w:r>
          </w:p>
          <w:p w14:paraId="7C46EADE" w14:textId="77777777" w:rsidR="00644FDF" w:rsidRDefault="00C732FA">
            <w:pPr>
              <w:widowControl w:val="0"/>
              <w:ind w:left="140" w:right="140"/>
              <w:rPr>
                <w:i/>
                <w:sz w:val="20"/>
                <w:szCs w:val="20"/>
                <w:lang w:val="en-GB"/>
              </w:rPr>
            </w:pPr>
            <w:r>
              <w:rPr>
                <w:i/>
                <w:sz w:val="20"/>
                <w:szCs w:val="20"/>
                <w:lang w:val="en-GB"/>
              </w:rPr>
              <w:t>Climate Science, Oceanography</w:t>
            </w:r>
          </w:p>
          <w:p w14:paraId="47AD5204" w14:textId="77777777" w:rsidR="00644FDF" w:rsidRDefault="00C732FA">
            <w:pPr>
              <w:widowControl w:val="0"/>
              <w:ind w:left="140" w:right="140"/>
              <w:rPr>
                <w:i/>
                <w:sz w:val="20"/>
                <w:szCs w:val="20"/>
                <w:lang w:val="en-GB"/>
              </w:rPr>
            </w:pPr>
            <w:r>
              <w:rPr>
                <w:i/>
                <w:sz w:val="20"/>
                <w:szCs w:val="20"/>
                <w:lang w:val="en-GB"/>
              </w:rPr>
              <w:t xml:space="preserve"> </w:t>
            </w:r>
          </w:p>
          <w:p w14:paraId="5F303799" w14:textId="77777777" w:rsidR="00644FDF" w:rsidRDefault="00C732FA">
            <w:pPr>
              <w:widowControl w:val="0"/>
              <w:ind w:left="140" w:right="140"/>
              <w:rPr>
                <w:i/>
                <w:sz w:val="20"/>
                <w:szCs w:val="20"/>
                <w:lang w:val="en-GB"/>
              </w:rPr>
            </w:pPr>
            <w:r>
              <w:rPr>
                <w:i/>
                <w:sz w:val="20"/>
                <w:szCs w:val="20"/>
                <w:lang w:val="en-GB"/>
              </w:rPr>
              <w:t>For theoretical models: Ecology</w:t>
            </w:r>
          </w:p>
          <w:p w14:paraId="57D1C1BF" w14:textId="77777777" w:rsidR="00644FDF" w:rsidRDefault="00C732FA">
            <w:pPr>
              <w:widowControl w:val="0"/>
              <w:ind w:left="140" w:right="140"/>
              <w:rPr>
                <w:i/>
                <w:sz w:val="20"/>
                <w:szCs w:val="20"/>
                <w:lang w:val="en-GB"/>
              </w:rPr>
            </w:pPr>
            <w:r>
              <w:rPr>
                <w:i/>
                <w:sz w:val="20"/>
                <w:szCs w:val="20"/>
                <w:lang w:val="en-GB"/>
              </w:rPr>
              <w:t xml:space="preserve"> </w:t>
            </w:r>
          </w:p>
          <w:p w14:paraId="702A36A7" w14:textId="6B857B71" w:rsidR="00644FDF" w:rsidRDefault="00644FDF">
            <w:pPr>
              <w:widowControl w:val="0"/>
              <w:ind w:left="140" w:right="140"/>
              <w:rPr>
                <w:i/>
                <w:sz w:val="20"/>
                <w:szCs w:val="20"/>
                <w:lang w:val="en-GB"/>
              </w:rPr>
            </w:pPr>
          </w:p>
        </w:tc>
        <w:tc>
          <w:tcPr>
            <w:tcW w:w="0" w:type="auto"/>
            <w:tcBorders>
              <w:top w:val="single" w:sz="4" w:space="0" w:color="auto"/>
              <w:bottom w:val="single" w:sz="4" w:space="0" w:color="auto"/>
              <w:right w:val="single" w:sz="4" w:space="0" w:color="auto"/>
            </w:tcBorders>
          </w:tcPr>
          <w:p w14:paraId="1E7F95E3" w14:textId="77777777" w:rsidR="00644FDF" w:rsidRDefault="00C732FA">
            <w:pPr>
              <w:widowControl w:val="0"/>
              <w:ind w:left="140" w:right="140"/>
              <w:rPr>
                <w:i/>
                <w:sz w:val="20"/>
                <w:szCs w:val="20"/>
                <w:lang w:val="en-GB"/>
              </w:rPr>
            </w:pPr>
            <w:r>
              <w:rPr>
                <w:i/>
                <w:sz w:val="20"/>
                <w:szCs w:val="20"/>
                <w:lang w:val="en-GB"/>
              </w:rPr>
              <w:t>Fields that use multiple model types: Climate Science, Ecology, Oceanography</w:t>
            </w:r>
          </w:p>
          <w:p w14:paraId="1FA5EAA0" w14:textId="77777777" w:rsidR="00644FDF" w:rsidRDefault="00C732FA">
            <w:pPr>
              <w:widowControl w:val="0"/>
              <w:ind w:left="140" w:right="140"/>
              <w:rPr>
                <w:i/>
                <w:sz w:val="20"/>
                <w:szCs w:val="20"/>
                <w:lang w:val="en-GB"/>
              </w:rPr>
            </w:pPr>
            <w:r>
              <w:rPr>
                <w:i/>
                <w:sz w:val="20"/>
                <w:szCs w:val="20"/>
                <w:lang w:val="en-GB"/>
              </w:rPr>
              <w:t xml:space="preserve"> </w:t>
            </w:r>
          </w:p>
          <w:p w14:paraId="3B26C8B4" w14:textId="77777777" w:rsidR="00644FDF" w:rsidRDefault="00C732FA">
            <w:pPr>
              <w:widowControl w:val="0"/>
              <w:ind w:left="140" w:right="140"/>
              <w:rPr>
                <w:i/>
                <w:sz w:val="20"/>
                <w:szCs w:val="20"/>
                <w:lang w:val="en-GB"/>
              </w:rPr>
            </w:pPr>
            <w:r>
              <w:rPr>
                <w:i/>
                <w:sz w:val="20"/>
                <w:szCs w:val="20"/>
                <w:lang w:val="en-GB"/>
              </w:rPr>
              <w:t>Fields that are not yet as consistent in reporting: All</w:t>
            </w:r>
          </w:p>
        </w:tc>
      </w:tr>
      <w:tr w:rsidR="00644FDF" w14:paraId="188E18B7" w14:textId="77777777" w:rsidTr="00644FDF">
        <w:trPr>
          <w:trHeight w:val="3165"/>
        </w:trPr>
        <w:tc>
          <w:tcPr>
            <w:tcW w:w="0" w:type="auto"/>
            <w:tcBorders>
              <w:top w:val="single" w:sz="4" w:space="0" w:color="auto"/>
              <w:left w:val="single" w:sz="4" w:space="0" w:color="auto"/>
              <w:bottom w:val="single" w:sz="4" w:space="0" w:color="auto"/>
            </w:tcBorders>
          </w:tcPr>
          <w:p w14:paraId="2AE3B029" w14:textId="77777777" w:rsidR="00644FDF" w:rsidRDefault="00C732FA">
            <w:pPr>
              <w:widowControl w:val="0"/>
              <w:ind w:left="140" w:right="140"/>
              <w:rPr>
                <w:i/>
                <w:sz w:val="20"/>
                <w:szCs w:val="20"/>
                <w:lang w:val="en-GB"/>
              </w:rPr>
            </w:pPr>
            <w:r>
              <w:rPr>
                <w:i/>
                <w:sz w:val="20"/>
                <w:szCs w:val="20"/>
                <w:lang w:val="en-GB"/>
              </w:rPr>
              <w:t>More complete uncertainty consideration</w:t>
            </w:r>
          </w:p>
        </w:tc>
        <w:tc>
          <w:tcPr>
            <w:tcW w:w="0" w:type="auto"/>
            <w:tcBorders>
              <w:top w:val="single" w:sz="4" w:space="0" w:color="auto"/>
              <w:bottom w:val="single" w:sz="4" w:space="0" w:color="auto"/>
            </w:tcBorders>
          </w:tcPr>
          <w:p w14:paraId="7BE9ED88" w14:textId="77777777" w:rsidR="00644FDF" w:rsidRDefault="00C732FA">
            <w:pPr>
              <w:widowControl w:val="0"/>
              <w:ind w:left="140" w:right="140"/>
              <w:rPr>
                <w:i/>
                <w:sz w:val="20"/>
                <w:szCs w:val="20"/>
                <w:lang w:val="en-GB"/>
              </w:rPr>
            </w:pPr>
            <w:r>
              <w:rPr>
                <w:i/>
                <w:sz w:val="20"/>
                <w:szCs w:val="20"/>
                <w:lang w:val="en-GB"/>
              </w:rPr>
              <w:t>Share proposed good practice methods for quantifying uncertainty from different sources across model types and fields. See our guidelines and examples in Box 2.</w:t>
            </w:r>
          </w:p>
        </w:tc>
        <w:tc>
          <w:tcPr>
            <w:tcW w:w="0" w:type="auto"/>
            <w:tcBorders>
              <w:top w:val="single" w:sz="4" w:space="0" w:color="auto"/>
              <w:bottom w:val="single" w:sz="4" w:space="0" w:color="auto"/>
            </w:tcBorders>
          </w:tcPr>
          <w:p w14:paraId="584A7609" w14:textId="77777777" w:rsidR="00644FDF" w:rsidRDefault="00C732FA">
            <w:pPr>
              <w:widowControl w:val="0"/>
              <w:ind w:left="140" w:right="140"/>
              <w:rPr>
                <w:i/>
                <w:sz w:val="20"/>
                <w:szCs w:val="20"/>
                <w:lang w:val="en-GB"/>
              </w:rPr>
            </w:pPr>
            <w:r>
              <w:rPr>
                <w:i/>
                <w:sz w:val="20"/>
                <w:szCs w:val="20"/>
                <w:lang w:val="en-GB"/>
              </w:rPr>
              <w:t>Response: Climate Science, Oceanography</w:t>
            </w:r>
          </w:p>
          <w:p w14:paraId="3B9F2C62" w14:textId="77777777" w:rsidR="00644FDF" w:rsidRDefault="00C732FA">
            <w:pPr>
              <w:widowControl w:val="0"/>
              <w:ind w:left="140" w:right="140"/>
              <w:rPr>
                <w:i/>
                <w:sz w:val="20"/>
                <w:szCs w:val="20"/>
                <w:lang w:val="en-GB"/>
              </w:rPr>
            </w:pPr>
            <w:r>
              <w:rPr>
                <w:i/>
                <w:sz w:val="20"/>
                <w:szCs w:val="20"/>
                <w:lang w:val="en-GB"/>
              </w:rPr>
              <w:t xml:space="preserve"> </w:t>
            </w:r>
          </w:p>
          <w:p w14:paraId="647681C4" w14:textId="77777777" w:rsidR="00644FDF" w:rsidRDefault="00C732FA">
            <w:pPr>
              <w:widowControl w:val="0"/>
              <w:ind w:left="140" w:right="140"/>
              <w:rPr>
                <w:i/>
                <w:sz w:val="20"/>
                <w:szCs w:val="20"/>
                <w:lang w:val="en-GB"/>
              </w:rPr>
            </w:pPr>
            <w:r>
              <w:rPr>
                <w:i/>
                <w:sz w:val="20"/>
                <w:szCs w:val="20"/>
                <w:lang w:val="en-GB"/>
              </w:rPr>
              <w:t>Explanatory: Evolution, Oceanography</w:t>
            </w:r>
          </w:p>
          <w:p w14:paraId="315D3810" w14:textId="77777777" w:rsidR="00644FDF" w:rsidRDefault="00C732FA">
            <w:pPr>
              <w:widowControl w:val="0"/>
              <w:ind w:left="140" w:right="140"/>
              <w:rPr>
                <w:i/>
                <w:sz w:val="20"/>
                <w:szCs w:val="20"/>
                <w:lang w:val="en-GB"/>
              </w:rPr>
            </w:pPr>
            <w:r>
              <w:rPr>
                <w:i/>
                <w:sz w:val="20"/>
                <w:szCs w:val="20"/>
                <w:lang w:val="en-GB"/>
              </w:rPr>
              <w:t xml:space="preserve"> </w:t>
            </w:r>
          </w:p>
          <w:p w14:paraId="603C7AF4" w14:textId="77777777" w:rsidR="00644FDF" w:rsidRDefault="00C732FA">
            <w:pPr>
              <w:widowControl w:val="0"/>
              <w:ind w:left="140" w:right="140"/>
              <w:rPr>
                <w:i/>
                <w:sz w:val="20"/>
                <w:szCs w:val="20"/>
                <w:lang w:val="en-GB"/>
              </w:rPr>
            </w:pPr>
            <w:r>
              <w:rPr>
                <w:i/>
                <w:sz w:val="20"/>
                <w:szCs w:val="20"/>
                <w:lang w:val="en-GB"/>
              </w:rPr>
              <w:t>Parameters: Health Science, Political Science</w:t>
            </w:r>
          </w:p>
          <w:p w14:paraId="0B45C4E0" w14:textId="77777777" w:rsidR="00644FDF" w:rsidRDefault="00C732FA">
            <w:pPr>
              <w:widowControl w:val="0"/>
              <w:ind w:left="140" w:right="140"/>
              <w:rPr>
                <w:i/>
                <w:sz w:val="20"/>
                <w:szCs w:val="20"/>
                <w:lang w:val="en-GB"/>
              </w:rPr>
            </w:pPr>
            <w:r>
              <w:rPr>
                <w:i/>
                <w:sz w:val="20"/>
                <w:szCs w:val="20"/>
                <w:lang w:val="en-GB"/>
              </w:rPr>
              <w:t xml:space="preserve"> </w:t>
            </w:r>
          </w:p>
          <w:p w14:paraId="0E9E7DE0" w14:textId="77777777" w:rsidR="00644FDF" w:rsidRDefault="00C732FA">
            <w:pPr>
              <w:widowControl w:val="0"/>
              <w:ind w:left="140" w:right="140"/>
              <w:rPr>
                <w:i/>
                <w:sz w:val="20"/>
                <w:szCs w:val="20"/>
                <w:lang w:val="en-GB"/>
              </w:rPr>
            </w:pPr>
            <w:r>
              <w:rPr>
                <w:i/>
                <w:sz w:val="20"/>
                <w:szCs w:val="20"/>
                <w:lang w:val="en-GB"/>
              </w:rPr>
              <w:t>Model Structure: Political Science</w:t>
            </w:r>
          </w:p>
        </w:tc>
        <w:tc>
          <w:tcPr>
            <w:tcW w:w="0" w:type="auto"/>
            <w:tcBorders>
              <w:top w:val="single" w:sz="4" w:space="0" w:color="auto"/>
              <w:bottom w:val="single" w:sz="4" w:space="0" w:color="auto"/>
              <w:right w:val="single" w:sz="4" w:space="0" w:color="auto"/>
            </w:tcBorders>
          </w:tcPr>
          <w:p w14:paraId="714FAC33" w14:textId="77777777" w:rsidR="00644FDF" w:rsidRDefault="00C732FA">
            <w:pPr>
              <w:widowControl w:val="0"/>
              <w:ind w:left="140" w:right="140"/>
              <w:rPr>
                <w:i/>
                <w:sz w:val="20"/>
                <w:szCs w:val="20"/>
                <w:lang w:val="en-GB"/>
              </w:rPr>
            </w:pPr>
            <w:r>
              <w:rPr>
                <w:i/>
                <w:sz w:val="20"/>
                <w:szCs w:val="20"/>
                <w:lang w:val="en-GB"/>
              </w:rPr>
              <w:t>All fields</w:t>
            </w:r>
          </w:p>
        </w:tc>
      </w:tr>
      <w:tr w:rsidR="00644FDF" w14:paraId="182AA549" w14:textId="77777777" w:rsidTr="00644FDF">
        <w:trPr>
          <w:trHeight w:val="3165"/>
        </w:trPr>
        <w:tc>
          <w:tcPr>
            <w:tcW w:w="0" w:type="auto"/>
            <w:tcBorders>
              <w:top w:val="single" w:sz="4" w:space="0" w:color="auto"/>
              <w:left w:val="single" w:sz="4" w:space="0" w:color="auto"/>
              <w:bottom w:val="single" w:sz="4" w:space="0" w:color="auto"/>
            </w:tcBorders>
          </w:tcPr>
          <w:p w14:paraId="1E56E572" w14:textId="77777777" w:rsidR="00644FDF" w:rsidRDefault="00C732FA">
            <w:pPr>
              <w:widowControl w:val="0"/>
              <w:ind w:left="140" w:right="140"/>
              <w:rPr>
                <w:i/>
                <w:sz w:val="20"/>
                <w:szCs w:val="20"/>
                <w:lang w:val="en-GB"/>
              </w:rPr>
            </w:pPr>
            <w:r>
              <w:rPr>
                <w:i/>
                <w:sz w:val="20"/>
                <w:szCs w:val="20"/>
                <w:lang w:val="en-GB"/>
              </w:rPr>
              <w:t>Effective presentation</w:t>
            </w:r>
          </w:p>
        </w:tc>
        <w:tc>
          <w:tcPr>
            <w:tcW w:w="0" w:type="auto"/>
            <w:tcBorders>
              <w:top w:val="single" w:sz="4" w:space="0" w:color="auto"/>
              <w:bottom w:val="single" w:sz="4" w:space="0" w:color="auto"/>
            </w:tcBorders>
          </w:tcPr>
          <w:p w14:paraId="06AD0C67" w14:textId="77777777" w:rsidR="00644FDF" w:rsidRDefault="00C732FA">
            <w:pPr>
              <w:widowControl w:val="0"/>
              <w:ind w:left="140" w:right="140"/>
              <w:rPr>
                <w:i/>
                <w:sz w:val="20"/>
                <w:szCs w:val="20"/>
                <w:lang w:val="en-GB"/>
              </w:rPr>
            </w:pPr>
            <w:r>
              <w:rPr>
                <w:i/>
                <w:sz w:val="20"/>
                <w:szCs w:val="20"/>
                <w:lang w:val="en-GB"/>
              </w:rPr>
              <w:t>Recommended minimum numeric presentation to aid reproducibility and reusability of results and reduce ambiguity. Also recommend combining with visual presentation when feasible to aid interpretation.</w:t>
            </w:r>
          </w:p>
        </w:tc>
        <w:tc>
          <w:tcPr>
            <w:tcW w:w="0" w:type="auto"/>
            <w:tcBorders>
              <w:top w:val="single" w:sz="4" w:space="0" w:color="auto"/>
              <w:bottom w:val="single" w:sz="4" w:space="0" w:color="auto"/>
            </w:tcBorders>
          </w:tcPr>
          <w:p w14:paraId="37C1718F" w14:textId="77777777" w:rsidR="00644FDF" w:rsidRDefault="00C732FA">
            <w:pPr>
              <w:widowControl w:val="0"/>
              <w:ind w:left="140" w:right="140"/>
              <w:rPr>
                <w:i/>
                <w:sz w:val="20"/>
                <w:szCs w:val="20"/>
                <w:lang w:val="en-GB"/>
              </w:rPr>
            </w:pPr>
            <w:r>
              <w:rPr>
                <w:i/>
                <w:sz w:val="20"/>
                <w:szCs w:val="20"/>
                <w:lang w:val="en-GB"/>
              </w:rPr>
              <w:t>Strong visual presenters: Climate Science, Ecology, Evolution, Neuroscience</w:t>
            </w:r>
          </w:p>
          <w:p w14:paraId="132E3FE3" w14:textId="77777777" w:rsidR="00644FDF" w:rsidRDefault="00C732FA">
            <w:pPr>
              <w:widowControl w:val="0"/>
              <w:ind w:left="140" w:right="140"/>
              <w:rPr>
                <w:i/>
                <w:sz w:val="20"/>
                <w:szCs w:val="20"/>
                <w:lang w:val="en-GB"/>
              </w:rPr>
            </w:pPr>
            <w:r>
              <w:rPr>
                <w:i/>
                <w:sz w:val="20"/>
                <w:szCs w:val="20"/>
                <w:lang w:val="en-GB"/>
              </w:rPr>
              <w:t xml:space="preserve"> </w:t>
            </w:r>
          </w:p>
          <w:p w14:paraId="70559F22" w14:textId="77777777" w:rsidR="00644FDF" w:rsidRDefault="00C732FA">
            <w:pPr>
              <w:widowControl w:val="0"/>
              <w:ind w:left="140" w:right="140"/>
              <w:rPr>
                <w:i/>
                <w:sz w:val="20"/>
                <w:szCs w:val="20"/>
                <w:lang w:val="en-GB"/>
              </w:rPr>
            </w:pPr>
            <w:r>
              <w:rPr>
                <w:i/>
                <w:sz w:val="20"/>
                <w:szCs w:val="20"/>
                <w:lang w:val="en-GB"/>
              </w:rPr>
              <w:t>Strong numeric presenters: Climate Science, Ecology, Oceanography, Political Science</w:t>
            </w:r>
          </w:p>
          <w:p w14:paraId="1FC6D9FC" w14:textId="77777777" w:rsidR="00644FDF" w:rsidRDefault="00C732FA">
            <w:pPr>
              <w:widowControl w:val="0"/>
              <w:ind w:left="140" w:right="140"/>
              <w:rPr>
                <w:i/>
                <w:sz w:val="20"/>
                <w:szCs w:val="20"/>
                <w:lang w:val="en-GB"/>
              </w:rPr>
            </w:pPr>
            <w:r>
              <w:rPr>
                <w:i/>
                <w:sz w:val="20"/>
                <w:szCs w:val="20"/>
                <w:lang w:val="en-GB"/>
              </w:rPr>
              <w:t xml:space="preserve"> </w:t>
            </w:r>
          </w:p>
          <w:p w14:paraId="2AA54B20" w14:textId="77777777" w:rsidR="00644FDF" w:rsidRDefault="00C732FA">
            <w:pPr>
              <w:widowControl w:val="0"/>
              <w:ind w:left="140" w:right="140"/>
              <w:rPr>
                <w:i/>
                <w:sz w:val="20"/>
                <w:szCs w:val="20"/>
                <w:lang w:val="en-GB"/>
              </w:rPr>
            </w:pPr>
            <w:r>
              <w:rPr>
                <w:i/>
                <w:sz w:val="20"/>
                <w:szCs w:val="20"/>
                <w:lang w:val="en-GB"/>
              </w:rPr>
              <w:t>Strong across all:</w:t>
            </w:r>
          </w:p>
          <w:p w14:paraId="223FD568" w14:textId="77777777" w:rsidR="00644FDF" w:rsidRDefault="00C732FA">
            <w:pPr>
              <w:widowControl w:val="0"/>
              <w:ind w:left="140" w:right="140"/>
              <w:rPr>
                <w:i/>
                <w:sz w:val="20"/>
                <w:szCs w:val="20"/>
                <w:lang w:val="en-GB"/>
              </w:rPr>
            </w:pPr>
            <w:r>
              <w:rPr>
                <w:i/>
                <w:sz w:val="20"/>
                <w:szCs w:val="20"/>
                <w:lang w:val="en-GB"/>
              </w:rPr>
              <w:t>Health Science</w:t>
            </w:r>
          </w:p>
        </w:tc>
        <w:tc>
          <w:tcPr>
            <w:tcW w:w="0" w:type="auto"/>
            <w:tcBorders>
              <w:top w:val="single" w:sz="4" w:space="0" w:color="auto"/>
              <w:bottom w:val="single" w:sz="4" w:space="0" w:color="auto"/>
              <w:right w:val="single" w:sz="4" w:space="0" w:color="auto"/>
            </w:tcBorders>
          </w:tcPr>
          <w:p w14:paraId="05EAB4E7" w14:textId="77777777" w:rsidR="00644FDF" w:rsidRDefault="00C732FA">
            <w:pPr>
              <w:widowControl w:val="0"/>
              <w:ind w:left="140" w:right="140"/>
              <w:rPr>
                <w:i/>
                <w:sz w:val="20"/>
                <w:szCs w:val="20"/>
                <w:lang w:val="en-GB"/>
              </w:rPr>
            </w:pPr>
            <w:r>
              <w:rPr>
                <w:i/>
                <w:sz w:val="20"/>
                <w:szCs w:val="20"/>
                <w:lang w:val="en-GB"/>
              </w:rPr>
              <w:t>All fields</w:t>
            </w:r>
          </w:p>
        </w:tc>
      </w:tr>
    </w:tbl>
    <w:p w14:paraId="3713B12B" w14:textId="77777777" w:rsidR="00644FDF" w:rsidRDefault="00644FDF">
      <w:pPr>
        <w:rPr>
          <w:lang w:val="en-GB"/>
        </w:rPr>
      </w:pPr>
    </w:p>
    <w:p w14:paraId="09809BB0" w14:textId="77777777" w:rsidR="00644FDF" w:rsidRDefault="00C732FA">
      <w:pPr>
        <w:rPr>
          <w:lang w:val="en-GB"/>
        </w:rPr>
      </w:pPr>
      <w:r>
        <w:rPr>
          <w:lang w:val="en-GB"/>
        </w:rPr>
        <w:t xml:space="preserve"> </w:t>
      </w:r>
    </w:p>
    <w:p w14:paraId="503928D2" w14:textId="51FB2E09" w:rsidR="00644FDF" w:rsidRDefault="00C732FA">
      <w:pPr>
        <w:rPr>
          <w:lang w:val="en-GB"/>
        </w:rPr>
      </w:pPr>
      <w:r>
        <w:rPr>
          <w:b/>
          <w:lang w:val="en-GB"/>
        </w:rPr>
        <w:t>Greater consistency through a common framework.</w:t>
      </w:r>
      <w:r>
        <w:rPr>
          <w:lang w:val="en-GB"/>
        </w:rPr>
        <w:t xml:space="preserve"> Achieving consistency in the quantification and reporting of model-related uncertainty across scientific fields is a challenging aim. Cross-discipline harmony has been hindered by both the lack of a standardised framework for considering model-related uncertainty and by field-specific vocabularies and different compositions of model types. Here we propose three complementary solutions which can help researchers address these challenges and produce easier cross-disciplinary comparisons. The first solution is a broad framework and common language through which to </w:t>
      </w:r>
      <w:r>
        <w:rPr>
          <w:lang w:val="en-GB"/>
        </w:rPr>
        <w:lastRenderedPageBreak/>
        <w:t xml:space="preserve">consider model-related uncertainty. We propose the use of our source framework as a tool to identify potential routes for uncertainty to enter the modelling process before referring to model type specific criteria for quantifying or addressing those uncertainties. The usability of this framework across different disciplines has already proven itself through our analysis. While we have demonstrated the usefulness of our framework across a broad range of fields, our coverage of social sciences was limited to </w:t>
      </w:r>
      <w:r w:rsidR="006E54D5">
        <w:rPr>
          <w:lang w:val="en-GB"/>
        </w:rPr>
        <w:t>P</w:t>
      </w:r>
      <w:r>
        <w:rPr>
          <w:lang w:val="en-GB"/>
        </w:rPr>
        <w:t xml:space="preserve">olitical </w:t>
      </w:r>
      <w:r w:rsidR="006E54D5">
        <w:rPr>
          <w:lang w:val="en-GB"/>
        </w:rPr>
        <w:t>S</w:t>
      </w:r>
      <w:r>
        <w:rPr>
          <w:lang w:val="en-GB"/>
        </w:rPr>
        <w:t xml:space="preserve">cience. However, we are confident that the broad nature of our framework makes it applicable as a checklist for any quantitative model, regardless of discipline. For fields where a substantial part of uncertainty in a piece of work is not quantitative or quantifiable, other additional categories or standards may be required to further align uncertainty consideration beyond model-related uncertainty. The field of </w:t>
      </w:r>
      <w:r w:rsidR="006E54D5">
        <w:rPr>
          <w:lang w:val="en-GB"/>
        </w:rPr>
        <w:t>E</w:t>
      </w:r>
      <w:r>
        <w:rPr>
          <w:lang w:val="en-GB"/>
        </w:rPr>
        <w:t>ngineering has already made substantial progress here, with specific methods available for the quantification of uncertainty in qualitative as well as quantitative data</w:t>
      </w:r>
      <w:r w:rsidR="006E1ED7">
        <w:rPr>
          <w:lang w:val="en-GB"/>
        </w:rPr>
        <w:t xml:space="preserve"> </w:t>
      </w:r>
      <w:r>
        <w:rPr>
          <w:lang w:val="en-GB"/>
        </w:rPr>
        <w:fldChar w:fldCharType="begin" w:fldLock="1"/>
      </w:r>
      <w:r>
        <w:rPr>
          <w:lang w:val="en-GB"/>
        </w:rPr>
        <w:instrText>ADDIN CSL_CITATION {"citationItems":[{"id":"ITEM-1","itemData":{"DOI":"10.1016/j.cirpj.2021.03.004","ISSN":"17555817","abstract":"Engineering systems must function effectively whilst maintaining reliability in service. Predicting maintenance costs and asset availability raises varying degrees of uncertainty from multiple sources. Previous reviews in this domain have assessed cost uncertainty and estimation for the entire life cycle. This paper presents a systematic review to investigate existing methodologies and challenges in uncertainty quantification, aggregation and forecasting for modern engineering systems through their in-service life. Approaches to forecast uncertainty here are hindered chiefly by data quality of available data, experience and knowledge. A total of 107 papers were analysed to answer three research questions based on the scope, through which two core research gaps were identified. An integrated combination of identified approaches will enhance rigour in uncertainty assessment and forecasting. This review contributes a systematic identification and assessment of current practices in uncertainty quantification and scientific methodologies to quantify, aggregate and forecast quantitative and qualitative uncertainties to better understand their impact on cost and availability to aid decision making throughout the in-service phase.","author":[{"dropping-particle":"","family":"Grenyer","given":"Alex","non-dropping-particle":"","parse-names":false,"suffix":""},{"dropping-particle":"","family":"Erkoyuncu","given":"John A.","non-dropping-particle":"","parse-names":false,"suffix":""},{"dropping-particle":"","family":"Zhao","given":"Yifan","non-dropping-particle":"","parse-names":false,"suffix":""},{"dropping-particle":"","family":"Roy","given":"Rajkumar","non-dropping-particle":"","parse-names":false,"suffix":""}],"container-title":"CIRP Journal of Manufacturing Science and Technology","id":"ITEM-1","issued":{"date-parts":[["2021"]]},"page":"188-208","publisher":"CIRP","title":"A systematic review of multivariate uncertainty quantification for engineering systems","type":"article-journal","volume":"33"},"uris":["http://www.mendeley.com/documents/?uuid=8b7ea646-ea9e-4a06-8633-b9748234ae14"]}],"mendeley":{"formattedCitation":"(Grenyer et al., 2021)","plainTextFormattedCitation":"(Grenyer et al., 2021)","previouslyFormattedCitation":"(Grenyer et al., 2021)"},"properties":{"noteIndex":0},"schema":"https://github.com/citation-style-language/schema/raw/master/csl-citation.json"}</w:instrText>
      </w:r>
      <w:r>
        <w:rPr>
          <w:lang w:val="en-GB"/>
        </w:rPr>
        <w:fldChar w:fldCharType="separate"/>
      </w:r>
      <w:r>
        <w:rPr>
          <w:noProof/>
          <w:lang w:val="en-GB"/>
        </w:rPr>
        <w:t>(Grenyer et al., 2021)</w:t>
      </w:r>
      <w:r>
        <w:rPr>
          <w:lang w:val="en-GB"/>
        </w:rPr>
        <w:fldChar w:fldCharType="end"/>
      </w:r>
      <w:r>
        <w:rPr>
          <w:lang w:val="en-GB"/>
        </w:rPr>
        <w:t>. While these additional elements are beyond the scope of this current work, we strongly encourage more research effort to create a harmonized approach to all types of uncertainty and expanding further into the social sciences in particular but retaining an inter-disciplinary approach.</w:t>
      </w:r>
    </w:p>
    <w:p w14:paraId="2C21F267" w14:textId="77777777" w:rsidR="001A5DAF" w:rsidRDefault="001A5DAF">
      <w:pPr>
        <w:rPr>
          <w:lang w:val="en-GB"/>
        </w:rPr>
      </w:pPr>
    </w:p>
    <w:p w14:paraId="3BDFDEA0" w14:textId="0E895142" w:rsidR="00644FDF" w:rsidRDefault="00C732FA">
      <w:pPr>
        <w:rPr>
          <w:lang w:val="en-GB"/>
        </w:rPr>
      </w:pPr>
      <w:r>
        <w:rPr>
          <w:lang w:val="en-GB"/>
        </w:rPr>
        <w:t>The second solution we propose is to follow cross-disciplinary good practice guidelines, which we present in Box 2. Our audit notes that differences in model uncertainty quantification seem to be driven by model type rather than purely by scientific field (see Fig</w:t>
      </w:r>
      <w:r w:rsidR="008A153C">
        <w:rPr>
          <w:lang w:val="en-GB"/>
        </w:rPr>
        <w:t>ure</w:t>
      </w:r>
      <w:r>
        <w:rPr>
          <w:lang w:val="en-GB"/>
        </w:rPr>
        <w:t xml:space="preserve"> 2B). As the sources of uncertainty in a particular model type are likely to be consistent across fields, we propose a logical split for guidelines of good practice by model type rather than scientific field. By focussing on model type and providing guidelines of good practice, as detailed in Box 2 for a statistical model, it is possible to achieve greater consistency and completeness in model-related uncertainty quantification across all scientific fields. Dialogue across fields is key to achieving greater consistency.</w:t>
      </w:r>
    </w:p>
    <w:p w14:paraId="166C6DE7" w14:textId="77777777" w:rsidR="00644FDF" w:rsidRDefault="00644FDF">
      <w:pPr>
        <w:rPr>
          <w:lang w:val="en-GB"/>
        </w:rPr>
      </w:pPr>
    </w:p>
    <w:p w14:paraId="58C0FF39" w14:textId="0D468228" w:rsidR="00644FDF" w:rsidRDefault="00C732FA">
      <w:pPr>
        <w:rPr>
          <w:lang w:val="en-GB"/>
        </w:rPr>
      </w:pPr>
      <w:r>
        <w:rPr>
          <w:lang w:val="en-GB"/>
        </w:rPr>
        <w:t xml:space="preserve">An example of the benefits of cross-disciplinary dialogue can be to see commonalities in our challenges. For instance, in some </w:t>
      </w:r>
      <w:r w:rsidR="0009054F">
        <w:rPr>
          <w:lang w:val="en-GB"/>
        </w:rPr>
        <w:t>s</w:t>
      </w:r>
      <w:r>
        <w:rPr>
          <w:lang w:val="en-GB"/>
        </w:rPr>
        <w:t xml:space="preserve">ocial </w:t>
      </w:r>
      <w:r w:rsidR="0009054F">
        <w:rPr>
          <w:lang w:val="en-GB"/>
        </w:rPr>
        <w:t>s</w:t>
      </w:r>
      <w:r>
        <w:rPr>
          <w:lang w:val="en-GB"/>
        </w:rPr>
        <w:t xml:space="preserve">ciences data ambiguity can be a challenge (in some cases it is not possible to know if data are correct/truthful </w:t>
      </w:r>
      <w:r>
        <w:rPr>
          <w:lang w:val="en-GB"/>
        </w:rPr>
        <w:fldChar w:fldCharType="begin" w:fldLock="1"/>
      </w:r>
      <w:r w:rsidR="000F225C">
        <w:rPr>
          <w:lang w:val="en-GB"/>
        </w:rPr>
        <w:instrText>ADDIN CSL_CITATION {"citationItems":[{"id":"ITEM-1","itemData":{"author":[{"dropping-particle":"","family":"Bound","given":"J","non-dropping-particle":"","parse-names":false,"suffix":""},{"dropping-particle":"","family":"Brown","given":"C","non-dropping-particle":"","parse-names":false,"suffix":""},{"dropping-particle":"","family":"Mathiowetz","given":"N","non-dropping-particle":"","parse-names":false,"suffix":""}],"container-title":"Handbook of Econometrics","edition":"vol. 5","editor":[{"dropping-particle":"","family":"Heckman","given":"J. J.","non-dropping-particle":"","parse-names":false,"suffix":""},{"dropping-particle":"","family":"Leamer","given":"E","non-dropping-particle":"","parse-names":false,"suffix":""}],"id":"ITEM-1","issued":{"date-parts":[["2001"]]},"page":"3705-37843","publisher":"Elsevier Science","publisher-place":"Amsterdan","title":"Measurement error in survey data","type":"chapter"},"uris":["http://www.mendeley.com/documents/?uuid=9a3ae34f-1a0c-47af-823f-63bc7905f3f5"]},{"id":"ITEM-2","itemData":{"DOI":"10.1017/S0022381611000880","ISSN":"00223816","abstract":"Are democracies more transparent than other types of political regimes? Many people believe that the presence of elections alone is not sufficient for a country to be considered democratic and that transparency must be included as part of the definition of political regime. We agree that contestability of elections and transparency of policymaking are analytically distinct concepts. Adopting minimalist approaches to democracy and transparency, we ask a basic question: do electoral politics provide incentives for governments to disseminate data? We thus investigate theoretically the relationship between regime type and the willingness of policy makers to provide credible announcements on policy-relevant variables. And we demonstrate empirically that the availability (or absence) of policy-relevant data is correlated with regime type, even after controlling for GDP per capita, IMF participation, country fixed-effects, and time trends1. Democracies are indeed more transparent. © Copyright Southern Political Science Association 2011.","author":[{"dropping-particle":"","family":"Hollyer","given":"James R.","non-dropping-particle":"","parse-names":false,"suffix":""},{"dropping-particle":"","family":"Rosendorff","given":"B. Peter","non-dropping-particle":"","parse-names":false,"suffix":""},{"dropping-particle":"","family":"Vreeland","given":"James Raymond","non-dropping-particle":"","parse-names":false,"suffix":""}],"container-title":"Journal of Politics","id":"ITEM-2","issue":"4","issued":{"date-parts":[["2011"]]},"page":"1191-1205","title":"Democracy and transparency","type":"article-journal","volume":"73"},"uris":["http://www.mendeley.com/documents/?uuid=cc6a92e3-f3d6-45c7-afd4-b2798f937c60"]},{"id":"ITEM-3","itemData":{"DOI":"10.1086/720458","ISSN":"1537534X","abstract":"I study the overstatement of economic growth in autocracies by comparing self-reported GDP figures to night-time light recorded by satellites from outer space. I show that the night-time-light elasticity of GDP is larger in authoritarian regimes, even accounting for differences in multiple country characteristics. This autocracy gradient in the elasticity is greater when the incentive to exaggerate economic growth is stronger or when the constraints on exaggeration are weaker. The results suggest that autocracies overstate yearly GDP growth by approximately 35%. Adjusting the data for manipulation leads to a more nuanced view on the recent economic success of autocracies.","author":[{"dropping-particle":"","family":"Martínez","given":"Luis R.","non-dropping-particle":"","parse-names":false,"suffix":""}],"container-title":"Journal of Political Economy","id":"ITEM-3","issue":"10","issued":{"date-parts":[["2022"]]},"title":"How Much Should We Trust the Dictator’s GDP Growth Estimates?","type":"article-journal","volume":"130"},"uris":["http://www.mendeley.com/documents/?uuid=f066d57c-6ef1-4907-a2c6-cee68c2362ae"]}],"mendeley":{"formattedCitation":"(Bound et al., 2001; Hollyer et al., 2011; Martínez, 2022)","plainTextFormattedCitation":"(Bound et al., 2001; Hollyer et al., 2011; Martínez, 2022)","previouslyFormattedCitation":"(Bound et al., 2001; Hollyer et al., 2011; Martínez, 2022)"},"properties":{"noteIndex":0},"schema":"https://github.com/citation-style-language/schema/raw/master/csl-citation.json"}</w:instrText>
      </w:r>
      <w:r>
        <w:rPr>
          <w:lang w:val="en-GB"/>
        </w:rPr>
        <w:fldChar w:fldCharType="separate"/>
      </w:r>
      <w:r w:rsidR="00D07053" w:rsidRPr="00D07053">
        <w:rPr>
          <w:noProof/>
          <w:lang w:val="en-GB"/>
        </w:rPr>
        <w:t>(Bound et al., 2001; Hollyer et al., 2011; Martínez, 2022)</w:t>
      </w:r>
      <w:r>
        <w:rPr>
          <w:lang w:val="en-GB"/>
        </w:rPr>
        <w:fldChar w:fldCharType="end"/>
      </w:r>
      <w:r>
        <w:rPr>
          <w:lang w:val="en-GB"/>
        </w:rPr>
        <w:t xml:space="preserve">), while in fields such as </w:t>
      </w:r>
      <w:r w:rsidR="006E54D5">
        <w:rPr>
          <w:lang w:val="en-GB"/>
        </w:rPr>
        <w:t>H</w:t>
      </w:r>
      <w:r>
        <w:rPr>
          <w:lang w:val="en-GB"/>
        </w:rPr>
        <w:t xml:space="preserve">ealth </w:t>
      </w:r>
      <w:r w:rsidR="006E54D5">
        <w:rPr>
          <w:lang w:val="en-GB"/>
        </w:rPr>
        <w:t>S</w:t>
      </w:r>
      <w:r>
        <w:rPr>
          <w:lang w:val="en-GB"/>
        </w:rPr>
        <w:t>cience</w:t>
      </w:r>
      <w:r w:rsidR="006E1ED7">
        <w:rPr>
          <w:lang w:val="en-GB"/>
        </w:rPr>
        <w:t>,</w:t>
      </w:r>
      <w:r>
        <w:rPr>
          <w:lang w:val="en-GB"/>
        </w:rPr>
        <w:t xml:space="preserve"> tests for diseases can give false positives or false negatives, and in fields like </w:t>
      </w:r>
      <w:r w:rsidR="006E54D5">
        <w:rPr>
          <w:lang w:val="en-GB"/>
        </w:rPr>
        <w:t>E</w:t>
      </w:r>
      <w:r>
        <w:rPr>
          <w:lang w:val="en-GB"/>
        </w:rPr>
        <w:t xml:space="preserve">cology or </w:t>
      </w:r>
      <w:r w:rsidR="006E54D5">
        <w:rPr>
          <w:lang w:val="en-GB"/>
        </w:rPr>
        <w:t>E</w:t>
      </w:r>
      <w:r>
        <w:rPr>
          <w:lang w:val="en-GB"/>
        </w:rPr>
        <w:t>ngineering</w:t>
      </w:r>
      <w:r w:rsidR="006E1ED7">
        <w:rPr>
          <w:lang w:val="en-GB"/>
        </w:rPr>
        <w:t>,</w:t>
      </w:r>
      <w:r>
        <w:rPr>
          <w:lang w:val="en-GB"/>
        </w:rPr>
        <w:t xml:space="preserve"> inaccuracy due to measurement or observer errors are common </w:t>
      </w:r>
      <w:r>
        <w:rPr>
          <w:lang w:val="en-GB"/>
        </w:rPr>
        <w:fldChar w:fldCharType="begin" w:fldLock="1"/>
      </w:r>
      <w:r>
        <w:rPr>
          <w:lang w:val="en-GB"/>
        </w:rPr>
        <w:instrText>ADDIN CSL_CITATION {"citationItems":[{"id":"ITEM-1","itemData":{"DOI":"10.1046/j.1461-0248.2003.00550.x","ISSN":"1461023X","abstract":"It is common to estimate the extinction probability for a vulnerable population using methods that are based on the mean and variance of the long-term population growth rate. The numerical values of these two parameters are estimated from time series of population censuses. However, the proportion of a population that is registered at each census is typically not constant but will vary among years because of stochastic factors such as weather conditions at the time of sampling. Here, we analyse how such sampling errors influence estimates of extinction risk and find sampling errors to produce two opposite effects. Measurement errors lead to an exaggerated overall variance, but also introduce negative autocorrelations in the time series (which means that estimates of annual growth rates tend to alternate in size). If time series data are treated properly these two effects exactly counter balance. We advocate routinely incorporating a measure of among year correlations in estimating population extinction risk.","author":[{"dropping-particle":"","family":"McNamara","given":"John M.","non-dropping-particle":"","parse-names":false,"suffix":""},{"dropping-particle":"","family":"Harding","given":"Karin C.","non-dropping-particle":"","parse-names":false,"suffix":""}],"container-title":"Ecology Letters","id":"ITEM-1","issue":"1","issued":{"date-parts":[["2004"]]},"page":"16-20","title":"Measurement error and estimates of population extinction risk","type":"article-journal","volume":"7"},"uris":["http://www.mendeley.com/documents/?uuid=2a56d44b-a7a0-41d7-91f5-01dd1aacf561"]},{"id":"ITEM-2","itemData":{"DOI":"10.1016/j.cirpj.2021.03.004","ISSN":"17555817","abstract":"Engineering systems must function effectively whilst maintaining reliability in service. Predicting maintenance costs and asset availability raises varying degrees of uncertainty from multiple sources. Previous reviews in this domain have assessed cost uncertainty and estimation for the entire life cycle. This paper presents a systematic review to investigate existing methodologies and challenges in uncertainty quantification, aggregation and forecasting for modern engineering systems through their in-service life. Approaches to forecast uncertainty here are hindered chiefly by data quality of available data, experience and knowledge. A total of 107 papers were analysed to answer three research questions based on the scope, through which two core research gaps were identified. An integrated combination of identified approaches will enhance rigour in uncertainty assessment and forecasting. This review contributes a systematic identification and assessment of current practices in uncertainty quantification and scientific methodologies to quantify, aggregate and forecast quantitative and qualitative uncertainties to better understand their impact on cost and availability to aid decision making throughout the in-service phase.","author":[{"dropping-particle":"","family":"Grenyer","given":"Alex","non-dropping-particle":"","parse-names":false,"suffix":""},{"dropping-particle":"","family":"Erkoyuncu","given":"John A.","non-dropping-particle":"","parse-names":false,"suffix":""},{"dropping-particle":"","family":"Zhao","given":"Yifan","non-dropping-particle":"","parse-names":false,"suffix":""},{"dropping-particle":"","family":"Roy","given":"Rajkumar","non-dropping-particle":"","parse-names":false,"suffix":""}],"container-title":"CIRP Journal of Manufacturing Science and Technology","id":"ITEM-2","issued":{"date-parts":[["2021"]]},"page":"188-208","publisher":"CIRP","title":"A systematic review of multivariate uncertainty quantification for engineering systems","type":"article-journal","volume":"33"},"uris":["http://www.mendeley.com/documents/?uuid=8b7ea646-ea9e-4a06-8633-b9748234ae14"]}],"mendeley":{"formattedCitation":"(Grenyer et al., 2021; McNamara and Harding, 2004)","plainTextFormattedCitation":"(Grenyer et al., 2021; McNamara and Harding, 2004)","previouslyFormattedCitation":"(Grenyer et al., 2021; McNamara and Harding, 2004)"},"properties":{"noteIndex":0},"schema":"https://github.com/citation-style-language/schema/raw/master/csl-citation.json"}</w:instrText>
      </w:r>
      <w:r>
        <w:rPr>
          <w:lang w:val="en-GB"/>
        </w:rPr>
        <w:fldChar w:fldCharType="separate"/>
      </w:r>
      <w:r>
        <w:rPr>
          <w:noProof/>
          <w:lang w:val="en-GB"/>
        </w:rPr>
        <w:t>(Grenyer et al., 2021; McNamara and Harding, 2004)</w:t>
      </w:r>
      <w:r>
        <w:rPr>
          <w:lang w:val="en-GB"/>
        </w:rPr>
        <w:fldChar w:fldCharType="end"/>
      </w:r>
      <w:r>
        <w:rPr>
          <w:lang w:val="en-GB"/>
        </w:rPr>
        <w:t>. While the causes of these issues are field specific (and even case specific)</w:t>
      </w:r>
      <w:r w:rsidR="009148BD">
        <w:rPr>
          <w:lang w:val="en-GB"/>
        </w:rPr>
        <w:t>,</w:t>
      </w:r>
      <w:r>
        <w:rPr>
          <w:lang w:val="en-GB"/>
        </w:rPr>
        <w:t xml:space="preserve"> the impact </w:t>
      </w:r>
      <w:r w:rsidR="00601AD6">
        <w:rPr>
          <w:lang w:val="en-GB"/>
        </w:rPr>
        <w:t>they</w:t>
      </w:r>
      <w:r>
        <w:rPr>
          <w:lang w:val="en-GB"/>
        </w:rPr>
        <w:t xml:space="preserve"> create for analysis and uncertainty quantification is shared. Both ambiguity and inaccuracy lead to incorrect observations of the process of interest. By highlighting such commonalities, it is possible to share solutions rather than duplicating effort.</w:t>
      </w:r>
    </w:p>
    <w:p w14:paraId="7F0C1268" w14:textId="77777777" w:rsidR="00644FDF" w:rsidRDefault="00C732FA">
      <w:pPr>
        <w:rPr>
          <w:lang w:val="en-GB"/>
        </w:rPr>
      </w:pPr>
      <w:r>
        <w:rPr>
          <w:lang w:val="en-GB"/>
        </w:rPr>
        <w:t xml:space="preserve"> </w:t>
      </w:r>
    </w:p>
    <w:p w14:paraId="0D2B24C8" w14:textId="77777777" w:rsidR="00644FDF" w:rsidRDefault="00C732FA">
      <w:pPr>
        <w:rPr>
          <w:lang w:val="en-GB"/>
        </w:rPr>
      </w:pPr>
      <w:r>
        <w:rPr>
          <w:b/>
          <w:lang w:val="en-GB"/>
        </w:rPr>
        <w:t>More complete uncertainty consideration</w:t>
      </w:r>
      <w:r>
        <w:rPr>
          <w:lang w:val="en-GB"/>
        </w:rPr>
        <w:t>. Across all the considered fields, we have documented the quantification of four sources of model uncertainty. However, no field or model type alone achieves this. Our proposed good practice guidelines (with specific examples in Box 2), informed by cross-field examples and practices, can support more complete uncertainty consideration for all models used across the sciences. For each potential source of uncertainty for each model type, we give indicate how uncertainty could be quantified, which in turn could be adapted to the model at hand.</w:t>
      </w:r>
    </w:p>
    <w:p w14:paraId="4B2ED004" w14:textId="77777777" w:rsidR="00644FDF" w:rsidRDefault="00644FDF">
      <w:pPr>
        <w:rPr>
          <w:lang w:val="en-GB"/>
        </w:rPr>
      </w:pPr>
    </w:p>
    <w:p w14:paraId="5DEF0E9B" w14:textId="75654752" w:rsidR="00644FDF" w:rsidRDefault="00C732FA">
      <w:pPr>
        <w:rPr>
          <w:lang w:val="en-GB"/>
        </w:rPr>
      </w:pPr>
      <w:r>
        <w:rPr>
          <w:lang w:val="en-GB"/>
        </w:rPr>
        <w:t xml:space="preserve">The guidelines in Box </w:t>
      </w:r>
      <w:r w:rsidR="00336B26">
        <w:rPr>
          <w:lang w:val="en-GB"/>
        </w:rPr>
        <w:t>2</w:t>
      </w:r>
      <w:r>
        <w:rPr>
          <w:lang w:val="en-GB"/>
        </w:rPr>
        <w:t xml:space="preserve"> leverage good practice from fields with specialised modelling repertoires to create a comprehensive set of uncertainty practices that is relevant to all fields, particularly those using a diverse modelling repertoire. An example of good practice from specialised fields is the quantification of uncertainty from parameter estimation in Political and Health Science. Both fields have standard presentation styles for this type of uncertainty, which is most commonly associated with </w:t>
      </w:r>
      <w:r>
        <w:rPr>
          <w:highlight w:val="white"/>
          <w:lang w:val="en-GB"/>
        </w:rPr>
        <w:t xml:space="preserve">some form of regression analysis. In Political Science, standard practice is to report standard errors (or occasionally t-values) for regression coefficients. It is also common to visualise uncertainty by plotting coefficients or marginal effects with 95% </w:t>
      </w:r>
      <w:r>
        <w:rPr>
          <w:highlight w:val="white"/>
          <w:lang w:val="en-GB"/>
        </w:rPr>
        <w:lastRenderedPageBreak/>
        <w:t>confidence intervals.</w:t>
      </w:r>
      <w:r>
        <w:rPr>
          <w:lang w:val="en-GB"/>
        </w:rPr>
        <w:t xml:space="preserve"> The numerical and or visual presentation of 95% confidence intervals is standard practice in Health Sciences. These accepted standards have led to an almost 100% success rate in reporting uncertainty from parameter estimates in the papers we assessed for Political and Health Sciences (see Figure 1). In contrast, in Ecology, despite also using predominantly statistical models, there is no such universal standard. Ecology research employs many different modelling tools and software platforms or packages, including a number of user-defined models. This lack of a consistent standard results in only a 60% reporting rate of parameter uncertainty in Ecology. Implementing clearer minimum expectations from statistical models like in Political or Health Science (as detailed in Box 2) could improve quantification of parameter uncertainty in Ecology and other fields. We have based our recommended methods on currently available tools and good practice from the seven considered fields, but we see these as working guidelines that should be updated as new tools become available.</w:t>
      </w:r>
    </w:p>
    <w:p w14:paraId="37103264" w14:textId="77777777" w:rsidR="00644FDF" w:rsidRDefault="00C732FA">
      <w:pPr>
        <w:rPr>
          <w:lang w:val="en-GB"/>
        </w:rPr>
      </w:pPr>
      <w:r>
        <w:rPr>
          <w:lang w:val="en-GB"/>
        </w:rPr>
        <w:t xml:space="preserve"> </w:t>
      </w:r>
    </w:p>
    <w:p w14:paraId="0369F741" w14:textId="4998A576" w:rsidR="00644FDF" w:rsidRDefault="00C732FA">
      <w:pPr>
        <w:rPr>
          <w:lang w:val="en-GB"/>
        </w:rPr>
      </w:pPr>
      <w:r>
        <w:rPr>
          <w:lang w:val="en-GB"/>
        </w:rPr>
        <w:t>One area that should be addressed in greater detail is how to deal with uncertainty in a particular source when quantification is implausible, impractical</w:t>
      </w:r>
      <w:r w:rsidR="001A5DAF">
        <w:rPr>
          <w:lang w:val="en-GB"/>
        </w:rPr>
        <w:t>,</w:t>
      </w:r>
      <w:r>
        <w:rPr>
          <w:lang w:val="en-GB"/>
        </w:rPr>
        <w:t xml:space="preserve"> or unnecessary. This frequently occurs and can arise for many reasons including complexity of the model, logistical constraints, lack of knowledge of the form of uncertainty, or methodological constraints. In these situations, applying our framework could be a useful method of systematically identifying what potential sources of uncertainty are missing from the current model, whether they could be incorporated or if they are quantified elsewhere. Researchers should subsequently consider how failure to quantify uncertainty is likely to </w:t>
      </w:r>
      <w:r w:rsidRPr="001A5DAF">
        <w:rPr>
          <w:lang w:val="en-GB"/>
        </w:rPr>
        <w:t>affect the study conclusions</w:t>
      </w:r>
      <w:r w:rsidR="00C11745" w:rsidRPr="001A5DAF">
        <w:rPr>
          <w:lang w:val="en-GB"/>
        </w:rPr>
        <w:t>, this approach could be a useful addition to the inquiry into COVID-19 modelling</w:t>
      </w:r>
      <w:r w:rsidRPr="001A5DAF">
        <w:rPr>
          <w:lang w:val="en-GB"/>
        </w:rPr>
        <w:t>. This</w:t>
      </w:r>
      <w:r>
        <w:rPr>
          <w:lang w:val="en-GB"/>
        </w:rPr>
        <w:t xml:space="preserve"> can include a detailed discussion of uncertainty elements that are missing from the quantitative assessment. This approach would be especially useful for fields that have a large component of uncertainty that is not quantitative or quantifiable, such as those with a large qualitative component. However, it should be noted that some methods to quantify qualitative uncertainty do exist</w:t>
      </w:r>
      <w:r w:rsidR="009148BD">
        <w:rPr>
          <w:lang w:val="en-GB"/>
        </w:rPr>
        <w:t xml:space="preserve"> </w:t>
      </w:r>
      <w:r>
        <w:rPr>
          <w:lang w:val="en-GB"/>
        </w:rPr>
        <w:fldChar w:fldCharType="begin" w:fldLock="1"/>
      </w:r>
      <w:r>
        <w:rPr>
          <w:lang w:val="en-GB"/>
        </w:rPr>
        <w:instrText>ADDIN CSL_CITATION {"citationItems":[{"id":"ITEM-1","itemData":{"DOI":"10.1016/j.cirpj.2021.03.004","ISSN":"17555817","abstract":"Engineering systems must function effectively whilst maintaining reliability in service. Predicting maintenance costs and asset availability raises varying degrees of uncertainty from multiple sources. Previous reviews in this domain have assessed cost uncertainty and estimation for the entire life cycle. This paper presents a systematic review to investigate existing methodologies and challenges in uncertainty quantification, aggregation and forecasting for modern engineering systems through their in-service life. Approaches to forecast uncertainty here are hindered chiefly by data quality of available data, experience and knowledge. A total of 107 papers were analysed to answer three research questions based on the scope, through which two core research gaps were identified. An integrated combination of identified approaches will enhance rigour in uncertainty assessment and forecasting. This review contributes a systematic identification and assessment of current practices in uncertainty quantification and scientific methodologies to quantify, aggregate and forecast quantitative and qualitative uncertainties to better understand their impact on cost and availability to aid decision making throughout the in-service phase.","author":[{"dropping-particle":"","family":"Grenyer","given":"Alex","non-dropping-particle":"","parse-names":false,"suffix":""},{"dropping-particle":"","family":"Erkoyuncu","given":"John A.","non-dropping-particle":"","parse-names":false,"suffix":""},{"dropping-particle":"","family":"Zhao","given":"Yifan","non-dropping-particle":"","parse-names":false,"suffix":""},{"dropping-particle":"","family":"Roy","given":"Rajkumar","non-dropping-particle":"","parse-names":false,"suffix":""}],"container-title":"CIRP Journal of Manufacturing Science and Technology","id":"ITEM-1","issued":{"date-parts":[["2021"]]},"page":"188-208","publisher":"CIRP","title":"A systematic review of multivariate uncertainty quantification for engineering systems","type":"article-journal","volume":"33"},"uris":["http://www.mendeley.com/documents/?uuid=8b7ea646-ea9e-4a06-8633-b9748234ae14"]}],"mendeley":{"formattedCitation":"(Grenyer et al., 2021)","plainTextFormattedCitation":"(Grenyer et al., 2021)","previouslyFormattedCitation":"(Grenyer et al., 2021)"},"properties":{"noteIndex":0},"schema":"https://github.com/citation-style-language/schema/raw/master/csl-citation.json"}</w:instrText>
      </w:r>
      <w:r>
        <w:rPr>
          <w:lang w:val="en-GB"/>
        </w:rPr>
        <w:fldChar w:fldCharType="separate"/>
      </w:r>
      <w:r>
        <w:rPr>
          <w:noProof/>
          <w:lang w:val="en-GB"/>
        </w:rPr>
        <w:t>(Grenyer et al., 2021)</w:t>
      </w:r>
      <w:r>
        <w:rPr>
          <w:lang w:val="en-GB"/>
        </w:rPr>
        <w:fldChar w:fldCharType="end"/>
      </w:r>
      <w:r>
        <w:rPr>
          <w:lang w:val="en-GB"/>
        </w:rPr>
        <w:t>. It also allows a broadening of the uncertainty consideration beyond that which can be easily given a numerical value.</w:t>
      </w:r>
    </w:p>
    <w:p w14:paraId="133F32B0" w14:textId="77777777" w:rsidR="00644FDF" w:rsidRDefault="00C732FA">
      <w:pPr>
        <w:rPr>
          <w:lang w:val="en-GB"/>
        </w:rPr>
      </w:pPr>
      <w:r>
        <w:rPr>
          <w:lang w:val="en-GB"/>
        </w:rPr>
        <w:t xml:space="preserve"> </w:t>
      </w:r>
    </w:p>
    <w:p w14:paraId="7A8834A5" w14:textId="590DB12B" w:rsidR="00644FDF" w:rsidRDefault="00C732FA">
      <w:pPr>
        <w:rPr>
          <w:lang w:val="en-GB"/>
        </w:rPr>
      </w:pPr>
      <w:r>
        <w:rPr>
          <w:lang w:val="en-GB"/>
        </w:rPr>
        <w:t xml:space="preserve">Emphasis should be put on quality over quantity when applying these good practice guidelines. In theory, it could be possible to tick all boxes of addressing uncertainty from the four sources, without ever quantifying them correctly or thoroughly. Quality of the methods used to quantify uncertainty or how </w:t>
      </w:r>
      <w:r w:rsidR="00FE4966">
        <w:rPr>
          <w:lang w:val="en-GB"/>
        </w:rPr>
        <w:t xml:space="preserve">those methods were </w:t>
      </w:r>
      <w:r>
        <w:rPr>
          <w:lang w:val="en-GB"/>
        </w:rPr>
        <w:t xml:space="preserve">reported is not something we addressed in our assessment of papers; however, it is something that should be considered in future assessments and when developing good practices. </w:t>
      </w:r>
    </w:p>
    <w:p w14:paraId="56588C4F" w14:textId="77777777" w:rsidR="00644FDF" w:rsidRDefault="00644FDF">
      <w:pPr>
        <w:rPr>
          <w:i/>
          <w:lang w:val="en-GB"/>
        </w:rPr>
      </w:pPr>
    </w:p>
    <w:p w14:paraId="1E0BA1F8" w14:textId="77777777" w:rsidR="00644FDF" w:rsidRDefault="00644FDF">
      <w:pPr>
        <w:rPr>
          <w:b/>
          <w:lang w:val="en-GB"/>
        </w:rPr>
      </w:pPr>
    </w:p>
    <w:p w14:paraId="3F5176D1" w14:textId="6B57C54B" w:rsidR="00644FDF" w:rsidRDefault="00C732FA">
      <w:pPr>
        <w:rPr>
          <w:lang w:val="en-GB"/>
        </w:rPr>
      </w:pPr>
      <w:r>
        <w:rPr>
          <w:b/>
          <w:lang w:val="en-GB"/>
        </w:rPr>
        <w:t>Effective presentation of uncertainty</w:t>
      </w:r>
      <w:r>
        <w:rPr>
          <w:lang w:val="en-GB"/>
        </w:rPr>
        <w:t>. It is not sufficient to only quantify model-based uncertainty; it is also essential to communicate it. Model-based uncertainty can be communicated in three primary ways: numerically, visually, or narratively. Across fields, different combinations of these communication types were used (see Fig</w:t>
      </w:r>
      <w:r w:rsidR="00E45F34">
        <w:rPr>
          <w:lang w:val="en-GB"/>
        </w:rPr>
        <w:t>ure</w:t>
      </w:r>
      <w:r>
        <w:rPr>
          <w:lang w:val="en-GB"/>
        </w:rPr>
        <w:t xml:space="preserve"> 3), ranging from 6</w:t>
      </w:r>
      <w:r w:rsidR="00DF3764">
        <w:rPr>
          <w:lang w:val="en-GB"/>
        </w:rPr>
        <w:t>3</w:t>
      </w:r>
      <w:r>
        <w:rPr>
          <w:lang w:val="en-GB"/>
        </w:rPr>
        <w:t>% visual-only communication in Neuroscience to &gt; 90% communication including numeric values for Health and Political Sciences to a balanced use of all communication types individually and in combination in Evolution and Oceanography.</w:t>
      </w:r>
    </w:p>
    <w:p w14:paraId="334813F5" w14:textId="77777777" w:rsidR="00644FDF" w:rsidRDefault="00C732FA">
      <w:pPr>
        <w:rPr>
          <w:lang w:val="en-GB"/>
        </w:rPr>
      </w:pPr>
      <w:r>
        <w:rPr>
          <w:lang w:val="en-GB"/>
        </w:rPr>
        <w:t xml:space="preserve"> </w:t>
      </w:r>
    </w:p>
    <w:p w14:paraId="6F326449" w14:textId="79EA4C8E" w:rsidR="00644FDF" w:rsidRDefault="00C732FA">
      <w:pPr>
        <w:rPr>
          <w:lang w:val="en-GB"/>
        </w:rPr>
      </w:pPr>
      <w:r>
        <w:rPr>
          <w:lang w:val="en-GB"/>
        </w:rPr>
        <w:t>While there exists a wide literature base discussing the most effective ways to communicate uncertainty, these papers often focus on a non-academic audience of policy makers or the public</w:t>
      </w:r>
      <w:r w:rsidR="00CD1997">
        <w:rPr>
          <w:lang w:val="en-GB"/>
        </w:rPr>
        <w:t xml:space="preserve"> </w:t>
      </w:r>
      <w:r>
        <w:rPr>
          <w:lang w:val="en-GB"/>
        </w:rPr>
        <w:fldChar w:fldCharType="begin" w:fldLock="1"/>
      </w:r>
      <w:r>
        <w:rPr>
          <w:lang w:val="en-GB"/>
        </w:rPr>
        <w:instrText>ADDIN CSL_CITATION {"citationItems":[{"id":"ITEM-1","itemData":{"ISBN":"9789241550208","abstract":"New evidence-based guidance from the World Health Organization developed using a systematic search of the most recent research on key issues in emergency risk communication practice and experience. During public health emergencies, people need to know what health risks they face, and what actions they can take to protect their lives, their health, their families and communities","author":[{"dropping-particle":"","family":"World Health Organisation","given":"","non-dropping-particle":"","parse-names":false,"suffix":""}],"container-title":"A WHO guideline for emergency risk communication (ERC) policy and practice","id":"ITEM-1","issued":{"date-parts":[["2017"]]},"number-of-pages":"57","title":"Communicating Risk in Public Health Emergencies","type":"report"},"uris":["http://www.mendeley.com/documents/?uuid=7df5d927-4a9e-446f-8789-3e21aa3714bb","http://www.mendeley.com/documents/?uuid=79bdaffb-20e9-439a-83cf-13f74bd45c8b"]},{"id":"ITEM-2","itemData":{"DOI":"10.1145/3173574.3173718","ISBN":"9781450356206","abstract":"Everyday predictive systems typically present point predic-tions, making it hard for people to account for uncertainty when making decisions. Evaluations of uncertainty displays for transit prediction have assessed people's ability to extract probabilities, butnotthe qualityoftheir decisions.Ina con-trolled, incentivized experiment, we had subjects decide when to catchabus using displays withtextual uncertainty, uncer-tainty visualizations, or no-uncertainty (control). Frequency-based visualizations previously shown to allow people to bet-ter extract probabilities (quantile dotplots) yielded better deci-sions. Decisions with quantile dotplots with 50 outcomes were (1) better on average, having expected payoffs 97% of optimal (95% CI: [95%,98%]), 5 percentage points more than con-trol (95% CI: [2,8]); and (2) more consistent, having within-subject standard deviation of 3 percentage points (95% CI: [2,4]),4percentage points less than control (95% CI: [2,6]). Cumulative distribution function plots performed nearly as well, and both outperformed textual uncertainty, which was sensitive to the probability interval communicated. We dis-cuss implications for realtime transit predictions and possible generalization to other domains.","author":[{"dropping-particle":"","family":"Fernandes","given":"Michael","non-dropping-particle":"","parse-names":false,"suffix":""},{"dropping-particle":"","family":"Walls","given":"Logan","non-dropping-particle":"","parse-names":false,"suffix":""},{"dropping-particle":"","family":"Munson","given":"Sean","non-dropping-particle":"","parse-names":false,"suffix":""},{"dropping-particle":"","family":"Hullman","given":"Jessica","non-dropping-particle":"","parse-names":false,"suffix":""},{"dropping-particle":"","family":"Kay","given":"Matthew","non-dropping-particle":"","parse-names":false,"suffix":""}],"container-title":"Conference on Human Factors in Computing Systems - Proceedings","id":"ITEM-2","issued":{"date-parts":[["2018"]]},"title":"Uncertainty displays using quantile dotplots or CDFs improve transit decision-making","type":"article-journal","volume":"2018-April"},"uris":["http://www.mendeley.com/documents/?uuid=bef697ff-15d0-4144-ae4a-d08e4efa300e"]},{"id":"ITEM-3","itemData":{"author":[{"dropping-particle":"","family":"Ho","given":"Emily","non-dropping-particle":"","parse-names":false,"suffix":""},{"dropping-particle":"V.","family":"Budescu","given":"David","non-dropping-particle":"","parse-names":false,"suffix":""}],"container-title":"Nature Climate Change","id":"ITEM-3","issued":{"date-parts":[["2019"]]},"page":"802-808","title":"Climate uncertainty communication","type":"article-journal","volume":"9"},"uris":["http://www.mendeley.com/documents/?uuid=30990330-691d-4fdd-830a-75f30c054110","http://www.mendeley.com/documents/?uuid=5747684e-02c7-4cdd-9030-a56603ec6cc7"]},{"id":"ITEM-4","itemData":{"DOI":"10.1038/s41558-019-0587-5","ISSN":"17586798","abstract":"Predictions about the effects of climate change cannot be made with complete certainty, so acknowledging uncertainty may increase trust in scientists and public acceptance of their messages. Here we show that this is true regarding expressions of uncertainty, unless they are also accompanied by acknowledgements of irreducible uncertainty. A representative national sample of Americans read predictions about effects of global warming on sea level that included either a worst-case scenario (high partially bounded uncertainty) or the best and worst cases (fully bounded uncertainty). Compared to a control condition, expressing fully bounded but not high partially bounded uncertainty increased trust in scientists and message acceptance. However, these effects were eliminated when fully bounded uncertainty was accompanied by an acknowledgement that the full effects of sea-level rise cannot be quantified because of unpredictable storm surges. Thus, expressions of fully bounded uncertainty alone may enhance confidence in scientists and their assertions but not when the full extent of inevitable uncertainty is acknowledged.","author":[{"dropping-particle":"","family":"Howe","given":"Lauren C.","non-dropping-particle":"","parse-names":false,"suffix":""},{"dropping-particle":"","family":"MacInnis","given":"Bo","non-dropping-particle":"","parse-names":false,"suffix":""},{"dropping-particle":"","family":"Krosnick","given":"Jon A.","non-dropping-particle":"","parse-names":false,"suffix":""},{"dropping-particle":"","family":"Markowitz","given":"Ezra M.","non-dropping-particle":"","parse-names":false,"suffix":""},{"dropping-particle":"","family":"Socolow","given":"Robert","non-dropping-particle":"","parse-names":false,"suffix":""}],"container-title":"Nature Climate Change","id":"ITEM-4","issue":"11","issued":{"date-parts":[["2019"]]},"page":"863-867","publisher":"Springer US","title":"Acknowledging uncertainty impacts public acceptance of climate scientists’ predictions","type":"article-journal","volume":"9"},"uris":["http://www.mendeley.com/documents/?uuid=a8f3d506-f0ab-4764-b649-bffcbefe74e3","http://www.mendeley.com/documents/?uuid=c1993cd7-1172-4119-9c0a-8de4790c983d"]},{"id":"ITEM-5","itemData":{"DOI":"10.1080/10810730.2018.1461961","ISSN":"10870415","PMID":"29648962","abstract":"Communicating scientific uncertainty about public health threats is ethically desirable but challenging due to its tendency to promote avoidance of choice options with unknown probabilities—a phenomenon known as “ambiguity aversion.” This study examined this phenomenon’s potential magnitude, its responses to different communication strategies, and its mechanisms. In a factorial experiment, 2701 adult laypersons in Spain read one of three versions of a hypothetical newspaper article describing a pandemic vaccine-preventable disease (VPD), but varying in scientific uncertainty about VPD risk and vaccine effectiveness: No-Uncertainty, Uncertainty, and Normalized-Uncertainty (emphasizing its expected nature). Vaccination intentions were lower for the Uncertainty and Normalized-Uncertainty groups compared to the No-Uncertainty group, consistent with ambiguity aversion; Uncertainty and Normalized-Uncertainty groups did not differ. Ambiguity-averse responses were moderated by health literacy and mediated by perceptions of vaccine effectiveness, VPD likelihood, and VPD severity. Communicating scientific uncertainty about public health threats warrants caution and further research to elucidate its outcomes, mechanisms, and management.","author":[{"dropping-particle":"","family":"Han","given":"Paul K.J.","non-dropping-particle":"","parse-names":false,"suffix":""},{"dropping-particle":"","family":"Zikmund-Fisher","given":"Brian J.","non-dropping-particle":"","parse-names":false,"suffix":""},{"dropping-particle":"","family":"Duarte","given":"Christine W.","non-dropping-particle":"","parse-names":false,"suffix":""},{"dropping-particle":"","family":"Knaus","given":"Megan","non-dropping-particle":"","parse-names":false,"suffix":""},{"dropping-particle":"","family":"Black","given":"Adam","non-dropping-particle":"","parse-names":false,"suffix":""},{"dropping-particle":"","family":"Scherer","given":"Aaron M.","non-dropping-particle":"","parse-names":false,"suffix":""},{"dropping-particle":"","family":"Fagerlin","given":"Angela","non-dropping-particle":"","parse-names":false,"suffix":""}],"container-title":"Journal of Health Communication","id":"ITEM-5","issue":"5","issued":{"date-parts":[["2018"]]},"page":"435-444","publisher":"Routledge","title":"Communication of Scientific Uncertainty about a Novel Pandemic Health Threat: Ambiguity Aversion and Its Mechanisms","type":"article-journal","volume":"23"},"uris":["http://www.mendeley.com/documents/?uuid=e92e288c-164a-4d25-a8d7-05a0ddcce9bd","http://www.mendeley.com/documents/?uuid=da4c49b0-d09b-4e0a-8e2c-a555072c0e65"]}],"mendeley":{"formattedCitation":"(Fernandes et al., 2018; Han et al., 2018a; Ho and Budescu, 2019; Howe et al., 2019a; World Health Organisation, 2017)","plainTextFormattedCitation":"(Fernandes et al., 2018; Han et al., 2018a; Ho and Budescu, 2019; Howe et al., 2019a; World Health Organisation, 2017)","previouslyFormattedCitation":"(Fernandes et al., 2018; Han et al., 2018a; Ho and Budescu, 2019; Howe et al., 2019a; World Health Organisation, 2017)"},"properties":{"noteIndex":0},"schema":"https://github.com/citation-style-language/schema/raw/master/csl-citation.json"}</w:instrText>
      </w:r>
      <w:r>
        <w:rPr>
          <w:lang w:val="en-GB"/>
        </w:rPr>
        <w:fldChar w:fldCharType="separate"/>
      </w:r>
      <w:r>
        <w:rPr>
          <w:noProof/>
          <w:lang w:val="en-GB"/>
        </w:rPr>
        <w:t>(Fernandes et al., 2018; Han et al., 2018a; Ho and Budescu, 2019; Howe et al., 2019a; World Health Organisation, 2017)</w:t>
      </w:r>
      <w:r>
        <w:rPr>
          <w:lang w:val="en-GB"/>
        </w:rPr>
        <w:fldChar w:fldCharType="end"/>
      </w:r>
      <w:r>
        <w:rPr>
          <w:lang w:val="en-GB"/>
        </w:rPr>
        <w:t>. Their findings suggest that openly communicating bounded or quantified uncertainty can increase trust in results</w:t>
      </w:r>
      <w:r w:rsidR="00D07053">
        <w:rPr>
          <w:lang w:val="en-GB"/>
        </w:rPr>
        <w:t xml:space="preserve"> </w:t>
      </w:r>
      <w:r>
        <w:rPr>
          <w:lang w:val="en-GB"/>
        </w:rPr>
        <w:fldChar w:fldCharType="begin" w:fldLock="1"/>
      </w:r>
      <w:r w:rsidR="009C289F">
        <w:rPr>
          <w:lang w:val="en-GB"/>
        </w:rPr>
        <w:instrText>ADDIN CSL_CITATION {"citationItems":[{"id":"ITEM-1","itemData":{"DOI":"10.1016/j.envsci.2017.09.004","ISSN":"18736416","abstract":"Managing fishing threats to populations of endemic, threatened Hector's and Māui dolphins around New Zealand is a complex and controversial issue, underpinned by uncertain scientific knowledge. As such, it can be argued that it falls into the realm of post-normal science, which advocates transparency about uncertainties and stakeholder peer review of knowledge feeding into decision-making. This paper focuses on selected examples of modelling and risk assessment research relating to Hector's and Māui dolphin threat management. It explores how knowledge is developed, shared and utilised by decision-makers, finding that uncertain scientific knowledge may be shared in ways that make it appear more certain, with some of the subjectivities involved in knowledge production hidden from view. Interviews with stakeholders illustrate how some stakeholders are aware of the subjectivities involved when uncertain knowledge underpins decision-making, so a lack of transparency may be leading to erosion of social trust in decisions made. This in turn can lead to a lack of support for dolphin conservation measures from key stakeholders such as the commercial fishing industry. The paper concludes that while moves towards increasing transparency and stakeholder involvement are apparent, a deeper embrace of post-normal science approaches to knowledge production and dissemination would contribute to effective dolphin threat management in New Zealand.","author":[{"dropping-particle":"","family":"Palliser","given":"Anna","non-dropping-particle":"","parse-names":false,"suffix":""},{"dropping-particle":"","family":"Dodson","given":"Giles","non-dropping-particle":"","parse-names":false,"suffix":""}],"container-title":"Environmental Science and Policy","id":"ITEM-1","issued":{"date-parts":[["2017"]]},"page":"74-80","publisher":"Elsevier","title":"Uncertainty, complexity and controversy in dolphin threat management: A role for post-normal science?","type":"article-journal","volume":"78"},"uris":["http://www.mendeley.com/documents/?uuid=e480f6e3-27f2-4f9a-9b53-81d01f908fcb"]},{"id":"ITEM-2","itemData":{"DOI":"10.1126/sciadv.abd4563","ISSN":"23752548","PMID":"32978142","abstract":"While scientific uncertainty always invites the risk of politicization and raises questions of how to communicate about science, this risk is magnified for COVID-19. The limited data and accelerated research timelines mean that some prominent models or findings inevitably will be overturned or retracted. In this research, we examine the attitudes of more than 6000 Americans across five different survey experiments to understand how the cue giver and cue given about scientific uncertainty regarding COVID-19 affect public trust in science and support for science-based policy. Criticism from Democratic political elites undermines trust more than criticism from Republicans. Emphasizing uncertainty in projections can erode public trust in some contexts. Downplaying uncertainty can raise support in the short term, but reversals in projections may temper these effects or even reduce scientific trust. Careful science communication is critical to maintaining public support for science-based policies as the scientific consensus shifts over time.","author":[{"dropping-particle":"","family":"Kreps","given":"S. E.","non-dropping-particle":"","parse-names":false,"suffix":""},{"dropping-particle":"","family":"Kriner","given":"D. L.","non-dropping-particle":"","parse-names":false,"suffix":""}],"container-title":"Science Advances","id":"ITEM-2","issue":"43","issued":{"date-parts":[["2020"]]},"page":"eabd4563","title":"Model uncertainty, political contestation, and public trust in science: Evidence from the COVID-19 pandemic","type":"article-journal","volume":"6"},"uris":["http://www.mendeley.com/documents/?uuid=60206644-bb4f-4cd5-9224-2c6ff26ae11b"]},{"id":"ITEM-3","itemData":{"DOI":"10.1177/0272989X21990391","ISSN":"1552681X","abstract":"Mathematical modeling has played a prominent and necessary role in the current coronavirus disease 2019 (COVID-19) pandemic, with an increasing number of models being developed to track and project the spread of the disease, as well as major decisions being made based on the results of these studies. A proliferation of models, often diverging widely in their projections, has been accompanied by criticism of the validity of modeled analyses and uncertainty as to when and to what extent results can be trusted. Drawing on examples from COVID-19 and other infectious diseases of global importance, we review key limitations of mathematical modeling as a tool for interpreting empirical data and informing individual and public decision making. We present several approaches that have been used to strengthen the validity of inferences drawn from these analyses, approaches that will enable better decision making in the current COVID-19 crisis and beyond.","author":[{"dropping-particle":"","family":"James","given":"Lyndon P.","non-dropping-particle":"","parse-names":false,"suffix":""},{"dropping-particle":"","family":"Salomon","given":"Joshua A.","non-dropping-particle":"","parse-names":false,"suffix":""},{"dropping-particle":"","family":"Buckee","given":"Caroline O.","non-dropping-particle":"","parse-names":false,"suffix":""},{"dropping-particle":"","family":"Menzies","given":"Nicolas A.","non-dropping-particle":"","parse-names":false,"suffix":""}],"container-title":"Medical Decision Making","id":"ITEM-3","issue":"4","issued":{"date-parts":[["2021"]]},"page":"379-385","title":"The Use and Misuse of Mathematical Modeling for Infectious Disease Policymaking: Lessons for the COVID-19 Pandemic","type":"article-journal","volume":"41"},"uris":["http://www.mendeley.com/documents/?uuid=445d4df7-d067-4648-aa86-1daba82a4347"]},{"id":"ITEM-4","itemData":{"DOI":"10.1038/s41558-019-0587-5","ISSN":"17586798","abstract":"Predictions about the effects of climate change cannot be made with complete certainty, so acknowledging uncertainty may increase trust in scientists and public acceptance of their messages. Here we show that this is true regarding expressions of uncertainty, unless they are also accompanied by acknowledgements of irreducible uncertainty. A representative national sample of Americans read predictions about effects of global warming on sea level that included either a worst-case scenario (high partially bounded uncertainty) or the best and worst cases (fully bounded uncertainty). Compared to a control condition, expressing fully bounded but not high partially bounded uncertainty increased trust in scientists and message acceptance. However, these effects were eliminated when fully bounded uncertainty was accompanied by an acknowledgement that the full effects of sea-level rise cannot be quantified because of unpredictable storm surges. Thus, expressions of fully bounded uncertainty alone may enhance confidence in scientists and their assertions but not when the full extent of inevitable uncertainty is acknowledged.","author":[{"dropping-particle":"","family":"Howe","given":"Lauren C.","non-dropping-particle":"","parse-names":false,"suffix":""},{"dropping-particle":"","family":"MacInnis","given":"Bo","non-dropping-particle":"","parse-names":false,"suffix":""},{"dropping-particle":"","family":"Krosnick","given":"Jon A.","non-dropping-particle":"","parse-names":false,"suffix":""},{"dropping-particle":"","family":"Markowitz","given":"Ezra M.","non-dropping-particle":"","parse-names":false,"suffix":""},{"dropping-particle":"","family":"Socolow","given":"Robert","non-dropping-particle":"","parse-names":false,"suffix":""}],"container-title":"Nature Climate Change","id":"ITEM-4","issue":"11","issued":{"date-parts":[["2019"]]},"page":"863-867","publisher":"Springer US","title":"Acknowledging uncertainty impacts public acceptance of climate scientists’ predictions","type":"article-journal","volume":"9"},"uris":["http://www.mendeley.com/documents/?uuid=c1993cd7-1172-4119-9c0a-8de4790c983d","http://www.mendeley.com/documents/?uuid=a8f3d506-f0ab-4764-b649-bffcbefe74e3"]},{"id":"ITEM-5","itemData":{"author":[{"dropping-particle":"","family":"Ho","given":"Emily","non-dropping-particle":"","parse-names":false,"suffix":""},{"dropping-particle":"V.","family":"Budescu","given":"David","non-dropping-particle":"","parse-names":false,"suffix":""}],"container-title":"Nature Climate Change","id":"ITEM-5","issued":{"date-parts":[["2019"]]},"page":"802-808","title":"Climate uncertainty communication","type":"article-journal","volume":"9"},"uris":["http://www.mendeley.com/documents/?uuid=5747684e-02c7-4cdd-9030-a56603ec6cc7","http://www.mendeley.com/documents/?uuid=30990330-691d-4fdd-830a-75f30c054110","http://www.mendeley.com/documents/?uuid=6acce26b-fe06-4e89-b4e1-f59c21e4a3c8"]},{"id":"ITEM-6","itemData":{"DOI":"10.1098/rsos.181870","ISBN":"0000000241151","ISSN":"20545703","abstract":"Uncertainty is an inherent part of knowledge, and yet in an era of contested expertise, many shy away from openly communicating their uncertainty about what they know, fearful of their audience's reaction. But what effect does communication of such epistemic uncertainty have? Empirical research is widely scattered across many disciplines. This interdisciplinary review structures and summarizes current practice and research across domains, combining a statistical and psychological perspective. This informs a framework for uncertainty communication in which we identify three objects of uncertainty-facts, numbers and science-and two levels of uncertainty: direct and indirect. An examination of current practices provides a scale of nine expressions of direct uncertainty. We discuss attempts to codify indirect uncertainty in terms of quality of the underlying evidence. We review the limited literature about the effects of communicating epistemic uncertainty on cognition, affect, trust and decision-making. While there is some evidence that communicating epistemic uncertainty does not necessarily affect audiences negatively, impact can vary between individuals and communication formats. Case studies in economic statistics and climate change illustrate our framework in action. We conclude with advice to guide both communicators and future researchers in this important but so far rather neglected field.","author":[{"dropping-particle":"","family":"Bles","given":"Anne Marthe","non-dropping-particle":"Van Der","parse-names":false,"suffix":""},{"dropping-particle":"","family":"Linden","given":"Sander","non-dropping-particle":"Van Der","parse-names":false,"suffix":""},{"dropping-particle":"","family":"Freeman","given":"Alexandra L.J.","non-dropping-particle":"","parse-names":false,"suffix":""},{"dropping-particle":"","family":"Mitchell","given":"James","non-dropping-particle":"","parse-names":false,"suffix":""},{"dropping-particle":"","family":"Galvao","given":"Ana B.","non-dropping-particle":"","parse-names":false,"suffix":""},{"dropping-particle":"","family":"Zaval","given":"Lisa","non-dropping-particle":"","parse-names":false,"suffix":""},{"dropping-particle":"","family":"Spiegelhalter","given":"David J.","non-dropping-particle":"","parse-names":false,"suffix":""}],"container-title":"Royal Society Open Science","id":"ITEM-6","issue":"5","issued":{"date-parts":[["2019"]]},"page":"181870","title":"Communicating uncertainty about facts, numbers and science","type":"article-journal","volume":"6"},"uris":["http://www.mendeley.com/documents/?uuid=df6f606f-8c64-4e24-8c99-e9b2e65b4fd5"]}],"mendeley":{"formattedCitation":"(Ho and Budescu, 2019; Howe et al., 2019b; James et al., 2021; Kreps and Kriner, 2020; Palliser and Dodson, 2017; Van Der Bles et al., 2019)","plainTextFormattedCitation":"(Ho and Budescu, 2019; Howe et al., 2019b; James et al., 2021; Kreps and Kriner, 2020; Palliser and Dodson, 2017; Van Der Bles et al., 2019)","previouslyFormattedCitation":"(Ho and Budescu, 2019; Howe et al., 2019b; James et al., 2021; Kreps and Kriner, 2020; Palliser and Dodson, 2017; Van Der Bles et al., 2019)"},"properties":{"noteIndex":0},"schema":"https://github.com/citation-style-language/schema/raw/master/csl-citation.json"}</w:instrText>
      </w:r>
      <w:r>
        <w:rPr>
          <w:lang w:val="en-GB"/>
        </w:rPr>
        <w:fldChar w:fldCharType="separate"/>
      </w:r>
      <w:r w:rsidR="00FE4966" w:rsidRPr="00FE4966">
        <w:rPr>
          <w:noProof/>
          <w:lang w:val="en-GB"/>
        </w:rPr>
        <w:t>(Ho and Budescu, 2019; Howe et al., 2019b; James et al., 2021; Kreps and Kriner, 2020; Palliser and Dodson, 2017; Van Der Bles et al., 2019)</w:t>
      </w:r>
      <w:r>
        <w:rPr>
          <w:lang w:val="en-GB"/>
        </w:rPr>
        <w:fldChar w:fldCharType="end"/>
      </w:r>
      <w:r>
        <w:rPr>
          <w:lang w:val="en-GB"/>
        </w:rPr>
        <w:t xml:space="preserve"> and numeric and/or visual communication are more precise and effective than textual presentation for communicating the desired uncertainty level</w:t>
      </w:r>
      <w:r w:rsidR="00D07053">
        <w:rPr>
          <w:lang w:val="en-GB"/>
        </w:rPr>
        <w:t xml:space="preserve"> </w:t>
      </w:r>
      <w:r>
        <w:rPr>
          <w:lang w:val="en-GB"/>
        </w:rPr>
        <w:fldChar w:fldCharType="begin" w:fldLock="1"/>
      </w:r>
      <w:r>
        <w:rPr>
          <w:lang w:val="en-GB"/>
        </w:rPr>
        <w:instrText>ADDIN CSL_CITATION {"citationItems":[{"id":"ITEM-1","itemData":{"DOI":"10.1145/3173574.3173718","ISBN":"9781450356206","abstract":"Everyday predictive systems typically present point predic-tions, making it hard for people to account for uncertainty when making decisions. Evaluations of uncertainty displays for transit prediction have assessed people's ability to extract probabilities, butnotthe qualityoftheir decisions.Ina con-trolled, incentivized experiment, we had subjects decide when to catchabus using displays withtextual uncertainty, uncer-tainty visualizations, or no-uncertainty (control). Frequency-based visualizations previously shown to allow people to bet-ter extract probabilities (quantile dotplots) yielded better deci-sions. Decisions with quantile dotplots with 50 outcomes were (1) better on average, having expected payoffs 97% of optimal (95% CI: [95%,98%]), 5 percentage points more than con-trol (95% CI: [2,8]); and (2) more consistent, having within-subject standard deviation of 3 percentage points (95% CI: [2,4]),4percentage points less than control (95% CI: [2,6]). Cumulative distribution function plots performed nearly as well, and both outperformed textual uncertainty, which was sensitive to the probability interval communicated. We dis-cuss implications for realtime transit predictions and possible generalization to other domains.","author":[{"dropping-particle":"","family":"Fernandes","given":"Michael","non-dropping-particle":"","parse-names":false,"suffix":""},{"dropping-particle":"","family":"Walls","given":"Logan","non-dropping-particle":"","parse-names":false,"suffix":""},{"dropping-particle":"","family":"Munson","given":"Sean","non-dropping-particle":"","parse-names":false,"suffix":""},{"dropping-particle":"","family":"Hullman","given":"Jessica","non-dropping-particle":"","parse-names":false,"suffix":""},{"dropping-particle":"","family":"Kay","given":"Matthew","non-dropping-particle":"","parse-names":false,"suffix":""}],"container-title":"Conference on Human Factors in Computing Systems - Proceedings","id":"ITEM-1","issued":{"date-parts":[["2018"]]},"title":"Uncertainty displays using quantile dotplots or CDFs improve transit decision-making","type":"article-journal","volume":"2018-April"},"uris":["http://www.mendeley.com/documents/?uuid=bef697ff-15d0-4144-ae4a-d08e4efa300e"]},{"id":"ITEM-2","itemData":{"DOI":"10.1111/j.1467-9280.2009.02284.x","ISSN":"09567976","PMID":"19207697","abstract":"The Intergovernmental Panel on Climate Change (IPCC) assesses information relevant to the understanding of climate change and explores options for adaptation and mitigation. The IPCC reports communicate uncertainty by using a set of probability terms accompanied by global interpretational guidelines. The judgment literature indicates that there are large differences in the way people understand such phrases, and that their use may lead to confusion and errors in communication. We conducted an experiment in which subjects read sentences from the 2007 IPCC report and assigned numerical values to the probability terms. The respondents' judgments deviated significantly from the IPCC guidelines, even when the respondents had access to these guidelines. These results suggest that the method used by the IPCC is likely to convey levels of imprecision that are too high. We propose an alternative form of communicating uncertainty, illustrate its effectiveness, and suggest several additional ways to improve the communication of uncertainty. © 2009 Association for Psychological Science.","author":[{"dropping-particle":"V.","family":"Budescu","given":"David","non-dropping-particle":"","parse-names":false,"suffix":""},{"dropping-particle":"","family":"Broomell","given":"Stephen","non-dropping-particle":"","parse-names":false,"suffix":""},{"dropping-particle":"","family":"Por","given":"Han Hui","non-dropping-particle":"","parse-names":false,"suffix":""}],"container-title":"Psychological Science","id":"ITEM-2","issue":"3","issued":{"date-parts":[["2009"]]},"page":"299-308","title":"Improving communication of uncertainty in the reports of the intergovernmental panel on climate change","type":"article-journal","volume":"20"},"uris":["http://www.mendeley.com/documents/?uuid=c2eb038a-4efe-45f5-b5ab-cec93e3dd60f"]},{"id":"ITEM-3","itemData":{"DOI":"10.1098/rsos.181870","ISBN":"0000000241151","ISSN":"20545703","abstract":"Uncertainty is an inherent part of knowledge, and yet in an era of contested expertise, many shy away from openly communicating their uncertainty about what they know, fearful of their audience's reaction. But what effect does communication of such epistemic uncertainty have? Empirical research is widely scattered across many disciplines. This interdisciplinary review structures and summarizes current practice and research across domains, combining a statistical and psychological perspective. This informs a framework for uncertainty communication in which we identify three objects of uncertainty-facts, numbers and science-and two levels of uncertainty: direct and indirect. An examination of current practices provides a scale of nine expressions of direct uncertainty. We discuss attempts to codify indirect uncertainty in terms of quality of the underlying evidence. We review the limited literature about the effects of communicating epistemic uncertainty on cognition, affect, trust and decision-making. While there is some evidence that communicating epistemic uncertainty does not necessarily affect audiences negatively, impact can vary between individuals and communication formats. Case studies in economic statistics and climate change illustrate our framework in action. We conclude with advice to guide both communicators and future researchers in this important but so far rather neglected field.","author":[{"dropping-particle":"","family":"Bles","given":"Anne Marthe","non-dropping-particle":"Van Der","parse-names":false,"suffix":""},</w:instrText>
      </w:r>
      <w:r w:rsidRPr="001A5DAF">
        <w:rPr>
          <w:lang w:val="en-GB"/>
        </w:rPr>
        <w:instrText>{"dropping-particle":"","family":"Linden","given":"Sander","non-dropping-particle":"Van Der","parse-names":false,"suffix":""},{"dropping-particle":"","family":"Freeman","given":"Alexandra L.J.","non-dropping-particle":"","parse-names":false,"suffix":""},{"dropping-particle":"","family":"Mitchell","given":"James","non-dropping-particle":"","parse-names":false,"suffix":""},{"dropping-particle":"","family":"Galvao","given":"Ana B.","non-dropping-particle":"","parse-names":false,"suffix":""},{"dropping-particle":"","family":"Zaval","given":"Lisa","non-dropping-particle":"","parse-names":false,"suffix":""},{"dropping-particle":"","family":"Spiegelhalter","given":"David J.","non-dropping-particle":"","parse-names":false,"suffix":""}],"container-title":"Royal Society Open Science","id":"ITEM-3","issue":"5","issued":{"date-parts":[["2019"]]},"page":"181870","title":"Communicating uncertainty about facts, numbers and science","type":"article-journal","volume":"6"},"uris":["http://www.mendeley.com/documents/?uuid=df6f606f-8c64-4e24-8c99-e9b2e65b4fd5"]}],"mendeley":{"formattedCitation":"(Budescu et al., 2009; Fernandes et al., 2018; Van Der Bles et al., 2019)","plainTextFormattedCitation":"(Budescu et al., 2009; Fernandes et al., 2018; Van Der Bles et al., 2019)","previouslyFormattedCitation":"(Budescu et al., 2009; Fernandes et al., 2018; Van Der Bles et al., 2019)"},"properties":{"noteIndex":0},"schema":"https://github.com/citation-style-language/schema/raw/master/csl-citation.json"}</w:instrText>
      </w:r>
      <w:r>
        <w:rPr>
          <w:lang w:val="en-GB"/>
        </w:rPr>
        <w:fldChar w:fldCharType="separate"/>
      </w:r>
      <w:r w:rsidRPr="001A5DAF">
        <w:rPr>
          <w:noProof/>
          <w:lang w:val="en-GB"/>
        </w:rPr>
        <w:t>(Budescu et al., 2009; Fernandes et al., 2018; Van Der Bles et al., 2019)</w:t>
      </w:r>
      <w:r>
        <w:rPr>
          <w:lang w:val="en-GB"/>
        </w:rPr>
        <w:fldChar w:fldCharType="end"/>
      </w:r>
      <w:r w:rsidRPr="001A5DAF">
        <w:rPr>
          <w:lang w:val="en-GB"/>
        </w:rPr>
        <w:t xml:space="preserve">. </w:t>
      </w:r>
      <w:r>
        <w:rPr>
          <w:lang w:val="en-GB"/>
        </w:rPr>
        <w:t xml:space="preserve">Several findings from this existing literature can </w:t>
      </w:r>
      <w:r>
        <w:rPr>
          <w:lang w:val="en-GB"/>
        </w:rPr>
        <w:lastRenderedPageBreak/>
        <w:t>also be useful for scientists when they are communicating uncertainty to an academic audience. We propose a minimum presentation of quantified uncertainty as numeric values in scientific papers, either in the main text, in the supplemental information; or in a supporting dataset published along with the paper. We recommend numeric presentation for two reasons, first, to reduce ambiguity that could come from textual or visual presentation</w:t>
      </w:r>
      <w:r w:rsidR="00D07053">
        <w:rPr>
          <w:lang w:val="en-GB"/>
        </w:rPr>
        <w:t xml:space="preserve"> </w:t>
      </w:r>
      <w:r>
        <w:rPr>
          <w:lang w:val="en-GB"/>
        </w:rPr>
        <w:fldChar w:fldCharType="begin" w:fldLock="1"/>
      </w:r>
      <w:r>
        <w:rPr>
          <w:lang w:val="en-GB"/>
        </w:rPr>
        <w:instrText>ADDIN CSL_CITATION {"citationItems":[{"id":"ITEM-1","itemData":{"DOI":"10.1037/0096-3445.115.4.348","ISSN":"00963445","abstract":"Can the vague meanings of probability terms such as doubtful, probable, or likely be expressed as membership functions over the [0, 1] probability interval? A function for a given term would assign a membership value of zero to probabilities not at all in the vague concept represented by the term, a membership value of one to probabilities definitely in the concept, and intermediate membership values to probabilities represented by the term to some degree. A modified pair-comparison procedure was used in two experiments to empirically establish and assess membership functions for several probability terms. Subjects performed two tasks in both experiments: They judged (a) to what degree one probability rather than another was better described by a given probability term, and (b) to what degree one term rather than another better described a specified probability. Probabilities were displayed as relative areas on spinners. Task a data were analyzed from the perspective of conjoint-measurement theory, and membership function values were obtained for each term according to various scaling models. The conjoint-measurement axioms were well satisfied and goodness-of-fit measures for the scaling procedures were high. Individual differences were large but stable. Furthermore, the derived membership function values satisfactorily predicted the judgments independently obtained in task b. The results support the claim that the scaled values represented the vague meanings of the terms to the individual subjects in the present experimental context. Methodological implications are discussed, as are substantive issues raised by the data regarding the vague meanings of probability terms. © 1986 American Psychological Association.","author":[{"dropping-particle":"","family":"Wallsten","given":"Thomas S.","non-dropping-particle":"","parse-names":false,"suffix":""},{"dropping-particle":"V.","family":"Budescu","given":"David","non-dropping-particle":"","parse-names":false,"suffix":""},{"dropping-particle":"","family":"Rapoport","given":"Amnon","non-dropping-particle":"","parse-names":false,"suffix":""},{"dropping-particle":"","family":"Zwick","given":"Rami","non-dropping-particle":"","parse-names":false,"suffix":""},{"dropping-particle":"","family":"Forsyth","given":"Barbara","non-dropping-particle":"","parse-names":false,"suffix":""}],"container-title":"Journal of Experimental Psychology: General","id":"ITEM-1","issue":"4","issued":{"date-parts":[["1986"]]},"page":"348-365","title":"Measuring the Vague Meanings of Probability Terms","type":"article-journal","volume":"115"},"uris":["http://www.mendeley.com/documents/?uuid=d3df85e3-9134-4e8e-b41c-8d7e66b39908","http://www.mendeley.com/documents/?uuid=2e612c22-782e-4f97-8743-c558bdf29611"]},{"id":"ITEM-2","itemData":{"DOI":"10.5220/0005300702250232","ISBN":"9789897580888","abstract":"This paper investigates the effect of presenting uncertainty in bar and line charts in trend-finding and comparison tasks. Different options for presenting uncertainty were investigated in a carefully designed user evaluation that was conducted on statistical analysts, policy makers and journalists (N= 108). The study includes exploring several options for displaying interval estimates with and without point estimates in line and bar charts. We discuss the results for all options and derive presentation suggestions. Our study indicates that showing uncertainty improves the validity of user statements and that data without point estimates have different display needs.","author":[{"dropping-particle":"","family":"Laan","given":"D. Jan","non-dropping-particle":"Van Der","parse-names":false,"suffix":""},{"dropping-particle":"","family":"Jonge","given":"Edwin","non-dropping-particle":"De","parse-names":false,"suffix":""},{"dropping-particle":"","family":"Solcer","given":"Jessica","non-dropping-particle":"","parse-names":false,"suffix":""}],"container-title":"IVAPP 2015 - 6th International Conference on Information Visualization Theory and Applications; VISIGRAPP, Proceedings","id":"ITEM-2","issue":"May","issued":{"date-parts":[["2015"]]},"page":"225-232","title":"Effect of displaying uncertainty in line and bar charts: Presentation and interpretation","type":"paper-conference"},"uris":["http://www.mendeley.com/documents/?uuid=b3b38503-cfe9-448a-9094-51388ad901ec","http://www.mendeley.com/documents/?uuid=1b68bd95-0d3d-4a31-8b48-19c8348bbf5b"]},{"id":"ITEM-3","itemData":{"DOI":"10.1098/rsos.181870","ISBN":"0000000241151","ISSN":"20545703","abstract":"Uncertainty is an inherent part of knowledge, and yet in an era of contested expertise, many shy away from openly communicating their uncertainty about what they know, fearful of their audience's reaction. But what effect does communication of such epistemic uncertainty have? Empirical research is widely scattered across many disciplines. This interdisciplinary review structures and summarizes current practice and research across domains, combining a statistical and psychological perspective. This informs a framework for uncertainty communication in which we identify three objects of uncertainty-facts, numbers and science-and two levels of uncertainty: direct and indirect. An examination of current practices provides a scale of nine expressions of direct uncertainty. We discuss attempts to codify indirect uncertainty in terms of quality of the underlying evidence. We review the limited literature about the effects of communicating epistemic uncertainty on cognition, affect, trust and decision-making. While there is some evidence that communicating epistemic uncertainty does not necessarily affect audiences negatively, impact can vary between individuals and communication formats. Case studies in economic statistics and climate change illustrate our framework in action. We conclude with advice to guide both communicators and future researchers in this important but so far rather neglected field.","author":[{"dropping-particle":"","family":"Bles","given":"Anne Marthe","non-dropping-particle":"Van Der","parse-names":false,"suffix":""},{"dropping-particle":"","family":"Linden","given":"Sander","non-dropping-particle":"Van Der","parse-names":false,"suffix":""},{"dropping-particle":"","family":"Freeman","given":"Alexandra L.J.","non-dropping-particle":"","parse-names":false,"suffix":""},{"dropping-particle":"","family":"Mitchell","given":"James","non-dropping-particle":"","parse-names":false,"suffix":""},{"dropping-particle":"","family":"Galvao","given":"Ana B.","non-dropping-particle":"","parse-names":false,"suffix":""},{"dropping-particle":"","family":"Zaval","given":"Lisa","non-dropping-particle":"","parse-names":false,"suffix":""},{"dropping-particle":"","family":"Spiegelhalter","given":"David J.","non-dropping-particle":"","parse-names":false,"suffix":""}],"container-title":"Royal Society Open Science","id":"ITEM-3","issue":"5","issued":{"date-parts":[["2019"]]},"page":"181870","title":"Communicating uncertainty about facts, numbers and science","type":"article-journal","volume":"6"},"uris":["http://www.mendeley.com/documents/?uuid=df6f606f-8c64-4e24-8c99-e9b2e65b4fd5"]}],"mendeley":{"formattedCitation":"(Van Der Bles et al., 2019; Van Der Laan et al., 2015; Wallsten et al., 1986)","plainTextFormattedCitation":"(Van Der Bles et al., 2019; Van Der Laan et al., 2015; Wallsten et al., 1986)","previouslyFormattedCitation":"(Van Der Bles et al., 2019; Van Der Laan et al., 2015; Wallsten et al., 1986)"},"properties":{"noteIndex":0},"schema":"https://github.com/citation-style-language/schema/raw/master/csl-citation.json"}</w:instrText>
      </w:r>
      <w:r>
        <w:rPr>
          <w:lang w:val="en-GB"/>
        </w:rPr>
        <w:fldChar w:fldCharType="separate"/>
      </w:r>
      <w:r>
        <w:rPr>
          <w:noProof/>
          <w:lang w:val="en-GB"/>
        </w:rPr>
        <w:t>(Van Der Bles et al., 2019; Van Der Laan et al., 2015; Wallsten et al., 1986)</w:t>
      </w:r>
      <w:r>
        <w:rPr>
          <w:lang w:val="en-GB"/>
        </w:rPr>
        <w:fldChar w:fldCharType="end"/>
      </w:r>
      <w:r>
        <w:rPr>
          <w:lang w:val="en-GB"/>
        </w:rPr>
        <w:t xml:space="preserve"> and second, to aid in reusability of results. Numeric presentation of uncertainty is essential for the reuse of results in systematic reviews or meta-analyses, or for reproducing the results in future and therefore is essential for the progress of research. We also recommend including visual presentation when feasible to aid interpretation</w:t>
      </w:r>
      <w:r w:rsidR="00D07053">
        <w:rPr>
          <w:lang w:val="en-GB"/>
        </w:rPr>
        <w:t xml:space="preserve"> </w:t>
      </w:r>
      <w:r>
        <w:rPr>
          <w:lang w:val="en-GB"/>
        </w:rPr>
        <w:fldChar w:fldCharType="begin" w:fldLock="1"/>
      </w:r>
      <w:r>
        <w:rPr>
          <w:lang w:val="en-GB"/>
        </w:rPr>
        <w:instrText>ADDIN CSL_CITATION {"citationItems":[{"id":"ITEM-1","itemData":{"DOI":"10.1145/3173574.3173718","ISBN":"9781450356206","abstract":"Everyday predictive systems typically present point predic-tions, making it hard for people to account for uncertainty when making decisions. Evaluations of uncertainty displays for transit prediction have assessed people's ability to extract probabilities, butnotthe qualityoftheir decisions.Ina con-trolled, incentivized experiment, we had subjects decide when to catchabus using displays withtextual uncertainty, uncer-tainty visualizations, or no-uncertainty (control). Frequency-based visualizations previously shown to allow people to bet-ter extract probabilities (quantile dotplots) yielded better deci-sions. Decisions with quantile dotplots with 50 outcomes were (1) better on average, having expected payoffs 97% of optimal (95% CI: [95%,98%]), 5 percentage points more than con-trol (95% CI: [2,8]); and (2) more consistent, having within-subject standard deviation of 3 percentage points (95% CI: [2,4]),4percentage points less than control (95% CI: [2,6]). Cumulative distribution function plots performed nearly as well, and both outperformed textual uncertainty, which was sensitive to the probability interval communicated. We dis-cuss implications for realtime transit predictions and possible generalization to other domains.","author":[{"dropping-particle":"","family":"Fernandes","given":"Michael","non-dropping-particle":"","parse-names":false,"suffix":""},{"dropping-particle":"","family":"Walls","given":"Logan","non-dropping-particle":"","parse-names":false,"suffix":""},{"dropping-particle":"","family":"Munson","given":"Sean","non-dropping-particle":"","parse-names":false,"suffix":""},{"dropping-particle":"","family":"Hullman","given":"Jessica","non-dropping-particle":"","parse-names":false,"suffix":""},{"dropping-particle":"","family":"Kay","given":"Matthew","non-dropping-particle":"","parse-names":false,"suffix":""}],"container-title":"Conference on Human Factors in Computing Systems - Proceedings","id":"ITEM-1","issued":{"date-parts":[["2018"]]},"title":"Uncertainty displays using quantile dotplots or CDFs improve transit decision-making","type":"article-journal","volume":"2018-April"},"uris":["http://www.mendeley.com/documents/?uuid=bef697ff-15d0-4144-ae4a-d08e4efa300e"]},{"id":"ITEM-2","itemData":{"author":[{"dropping-particle":"","family":"Bonneau","given":"Georges-Pierre","non-dropping-particle":"","parse-names":false,"suffix":""},{"dropping-particle":"","family":"Hege","given":"Hans-Christian","non-dropping-particle":"","parse-names":false,"suffix":""},{"dropping-particle":"","family":"Johnson","given":"Christopher R.","non-dropping-particle":"","parse-names":false,"suffix":""},{"dropping-particle":"","family":"Oliveira","given":"Manuel M.","non-dropping-particle":"","parse-names":false,"suffix":""},{"dropping-particle":"","family":"Potter","given":"Kristin","non-dropping-particle":"","parse-names":false,"suffix":""},{"dropping-particle":"","family":"Rheingans","given":"Penny","non-dropping-particle":"","parse-names":false,"suffix":""},{"dropping-particle":"","family":"Schultz","given":"Thomas","non-dropping-particle":"","parse-names":false,"suffix":""}],"container-title":"Scientific Visualization: uncertainty, multifield, biomedical, and scalable visualization","editor":[{"dropping-particle":"","family":"Hansen","given":"Charles D.","non-dropping-particle":"","parse-names":false,"suffix":""},{"dropping-particle":"","family":"Chen","given":"Min","non-dropping-particle":"","parse-names":false,"suffix":""},{"dropping-particle":"","family":"Johnson","given":"Christopher R.","non-dropping-particle":"","parse-names":false,"suffix":""},{"dropping-particle":"","family":"Kaufman","given":"Arie E.","non-dropping-particle":"","parse-names":false,"suffix":""},{"dropping-particle":"","family":"Hagen","given":"Hans","non-dropping-particle":"","parse-names":false,"suffix":""}],"id":"ITEM-2","issued":{"date-parts":[["2014"]]},"page":"3-28","publisher":"Springer","publisher-place":"London","title":"Overview and State-of-the-Art of Uncertainty Visualization","type":"chapter"},"uris":["http://www.mendeley.com/documents/?uuid=38db9feb-0532-43a7-b8f6-78501bdee900","http://www.mendeley.com/documents/?uuid=5c6b1e10-1424-45bf-b2d0-d9bc1d5cb6f4"]},{"id":"ITEM-3","itemData":{"DOI":"10.1098/rsos.181870","ISBN":"0000000241151","ISSN":"20545703","abstract":"Uncertainty is an inherent part of knowledge, and yet in an era of contested expertise, many shy away from openly communicating their uncertainty about what they know, fearful of their audience's reaction. But what effect does communication of such epistemic uncertainty have? Empirical research is widely scattered across many disciplines. This interdisciplinary review structures and summarizes current practice and research across domains, combining a statistical and psychological perspective. This informs a framework for uncertainty communication in which we identify three objects of uncertainty-facts, numbers and science-and two levels of uncertainty: direct and indirect. An examination of current practices provides a scale of nine expressions of direct uncertainty. We discuss attempts to codify indirect uncertainty in terms of quality of the underlying evidence. We review the limited literature about the effects of communicating epistemic uncertainty on cognition, affect, trust and decision-making. While there is some evidence that communicating epistemic uncertainty does not necessarily affect audiences negatively, impact can vary between individuals and communication formats. Case studies in economic statistics and climate change illustrate our framework in action. We conclude with advice to guide both communicators and future researchers in this important but so far rather neglected field.","author":[{"dropping-particle":"","family":"Bles","given":"Anne Marthe","non-dropping-particle":"Van Der","parse-names":false,"suffix":""},</w:instrText>
      </w:r>
      <w:r w:rsidRPr="001A5DAF">
        <w:rPr>
          <w:lang w:val="en-GB"/>
        </w:rPr>
        <w:instrText>{"dropping-particle":"","family":"Linden","given":"Sander","non-dropping-particle":"Van Der","parse-names":false,"suffix":""},{"dropping-particle":"","family":"Freeman","given":"Alexandra L.J.","non-dropping-particle":"","parse-names":false,"suffix":""},{"dropping-particle":"","family":"Mitchell","given":"James","non-dropping-particle":"","parse-names":false,"suffix":""},{"dropping-particle":"","family":"Galvao","given":"Ana B.","non-dropping-particle":"","parse-names":false,"suffix":""},{"dropping-particle":"","family":"Zaval","given":"Lisa","non-dropping-particle":"","parse-names":false,"suffix":""},{"dropping-particle":"","family":"Spiegelhalter","given":"David J.","non-dropping-particle":"","parse-names":false,"suffix":""}],"container-title":"Royal Society Open Science","id":"ITEM-3","issue":"5","issued":{"date-parts":[["2019"]]},"page":"181870","title":"Communicating uncertainty about facts, numbers and science","type":"article-journal","volume":"6"},"uris":["http://www.mendeley.com/documents/?uuid=df6f606f-8c64-4e24-8c99-e9b2e65b4fd5"]}],"mendeley":{"formattedCitation":"(Bonneau et al., 2014; Fernandes et al., 2018; Van Der Bles et al., 2019)","plainTextFormattedCitation":"(Bonneau et al., 2014; Fernandes et al., 2018; Van Der Bles et al., 2019)","previouslyFormattedCitation":"(Bonneau et al., 2014; Fernandes et al., 2018; Van Der Bles et al., 2019)"},"properties":{"noteIndex":0},"schema":"https://github.com/citation-style-language/schema/raw/master/csl-citation.json"}</w:instrText>
      </w:r>
      <w:r>
        <w:rPr>
          <w:lang w:val="en-GB"/>
        </w:rPr>
        <w:fldChar w:fldCharType="separate"/>
      </w:r>
      <w:r w:rsidRPr="001A5DAF">
        <w:rPr>
          <w:noProof/>
          <w:lang w:val="en-GB"/>
        </w:rPr>
        <w:t>(Bonneau et al., 2014; Fernandes et al., 2018; Van Der Bles et al., 2019)</w:t>
      </w:r>
      <w:r>
        <w:rPr>
          <w:lang w:val="en-GB"/>
        </w:rPr>
        <w:fldChar w:fldCharType="end"/>
      </w:r>
      <w:r w:rsidRPr="001A5DAF">
        <w:rPr>
          <w:lang w:val="en-GB"/>
        </w:rPr>
        <w:t>.</w:t>
      </w:r>
      <w:r w:rsidRPr="001A5DAF">
        <w:rPr>
          <w:vertAlign w:val="superscript"/>
          <w:lang w:val="en-GB"/>
        </w:rPr>
        <w:t xml:space="preserve"> </w:t>
      </w:r>
      <w:r>
        <w:rPr>
          <w:lang w:val="en-GB"/>
        </w:rPr>
        <w:t>There are many ways in which uncertainty can be presented visually, increasing the potential for an effective method to be found</w:t>
      </w:r>
      <w:r w:rsidR="00D07053">
        <w:rPr>
          <w:lang w:val="en-GB"/>
        </w:rPr>
        <w:t xml:space="preserve"> </w:t>
      </w:r>
      <w:r>
        <w:rPr>
          <w:lang w:val="en-GB"/>
        </w:rPr>
        <w:fldChar w:fldCharType="begin" w:fldLock="1"/>
      </w:r>
      <w:r>
        <w:rPr>
          <w:lang w:val="en-GB"/>
        </w:rPr>
        <w:instrText>ADDIN CSL_CITATION {"citationItems":[{"id":"ITEM-1","itemData":{"DOI":"10.1098/rsos.181870","ISBN":"0000000241151","ISSN":"20545703","abstract":"Uncertainty is an inherent part of knowledge, and yet in an era of contested expertise, many shy away from openly communicating their uncertainty about what they know, fearful of their audience's reaction. But what effect does communication of such epistemic uncertainty have? Empirical research is widely scattered across many disciplines. This interdisciplinary review structures and summarizes current practice and research across domains, combining a statistical and psychological perspective. This informs a framework for uncertainty communication in which we identify three objects of uncertainty-facts, numbers and science-and two levels of uncertainty: direct and indirect. An examination of current practices provides a scale of nine expressions of direct uncertainty. We discuss attempts to codify indirect uncertainty in terms of quality of the underlying evidence. We review the limited literature about the effects of communicating epistemic uncertainty on cognition, affect, trust and decision-making. While there is some evidence that communicating epistemic uncertainty does not necessarily affect audiences negatively, impact can vary between individuals and communication formats. Case studies in economic statistics and climate change illustrate our framework in action. We conclude with advice to guide both communicators and future researchers in this important but so far rather neglected field.","author":[{"dropping-particle":"","family":"Bles","given":"Anne Marthe","non-dropping-particle":"Van Der","parse-names":false,"suffix":""},{"dropping-particle":"","family":"Linden","given":"Sander","non-dropping-particle":"Van Der","parse-names":false,"suffix":""},{"dropping-particle":"","family":"Freeman","given":"Alexandra L.J.","non-dropping-particle":"","parse-names":false,"suffix":""},{"dropping-particle":"","family":"Mitchell","given":"James","non-dropping-particle":"","parse-names":false,"suffix":""},{"dropping-particle":"","family":"Galvao","given":"Ana B.","non-dropping-particle":"","parse-names":false,"suffix":""},{"dropping-particle":"","family":"Zaval","given":"Lisa","non-dropping-particle":"","parse-names":false,"suffix":""},{"dropping-particle":"","family":"Spiegelhalter","given":"David J.","non-dropping-particle":"","parse-names":false,"suffix":""}],"container-title":"Royal Society Open Science","id":"ITEM-1","issue":"5","issued":{"date-parts":[["2019"]]},"page":"181870","title":"Communicating uncertainty about facts, numbers and science","type":"article-journal","volume":"6"},"uris":["http://www.mendeley.com/documents/?uuid=df6f606f-8c64-4e24-8c99-e9b2e65b4fd5"]},{"id":"ITEM-2","itemData":{"DOI":"10.5220/0005300702250232","ISBN":"9789897580888","abstract":"This paper investigates the effect of presenting uncertainty in bar and line charts in trend-finding and comparison tasks. Different options for presenting uncertainty were investigated in a carefully designed user evaluation that was conducted on statistical analysts, policy makers and journalists (N= 108). The study includes exploring several options for displaying interval estimates with and without point estimates in line and bar charts. We discuss the results for all options and derive presentation suggestions. Our s</w:instrText>
      </w:r>
      <w:r w:rsidRPr="001A5DAF">
        <w:rPr>
          <w:lang w:val="en-GB"/>
        </w:rPr>
        <w:instrText>tudy indicates that showing uncertainty improves the validity of user statements and that data without point estimates have different display needs.","author":[{"dropping-particle":"","family":"Laan","given":"D. Jan","non-dropping-particle":"Van Der","parse-names":false,"suffix":""},{"dropping-particle":"","family":"Jonge","given":"Edwin","non-dropping-particle":"De","parse-names":false,"suffix":""},{"dropping-particle":"","family":"Solcer","given":"Jessica","non-dropping-particle":"","parse-names":false,"suffix":""}],"container-title":"IVAPP 2015 - 6th International Conference on Information Visualization Theory and Applications; VISIGRAPP, Proceedings","id":"ITEM-2","issue":"May","issued":{"date-parts":[["2015"]]},"page":"225-232","title":"Effect of displaying uncertainty in line and bar charts: Presentation and interpretation","type":"paper-conference"},"uris":["http://www.mendeley.com/documents/?uuid=1b68bd95-0d3d-4a31-8b48-19c8348bbf5b","http://www.mendeley.com/documents/?uuid=b3b38503-cfe9-448a-9094-51388ad901ec","http://www.mendeley.com/documents/?uuid=a7031efc-20b2-4128-b138-1d3daae79e74"]}],"mendeley":{"formattedCitation":"(Van Der Bles et al., 2019; Van Der Laan et al., 2015)","plainTextFormattedCitation":"(Van Der Bles et al., 2019; Van Der Laan et al., 2015)","previouslyFormattedCitation":"(Van Der Bles et al., 2019; Van Der Laan et al., 2015)"},"properties":{"noteIndex":0},"schema":"https://github.com/citation-style-language/schema/raw/master/csl-citation.json"}</w:instrText>
      </w:r>
      <w:r>
        <w:rPr>
          <w:lang w:val="en-GB"/>
        </w:rPr>
        <w:fldChar w:fldCharType="separate"/>
      </w:r>
      <w:r w:rsidRPr="001A5DAF">
        <w:rPr>
          <w:noProof/>
          <w:lang w:val="en-GB"/>
        </w:rPr>
        <w:t>(Van Der Bles et al., 2019; Van Der Laan et al., 2015)</w:t>
      </w:r>
      <w:r>
        <w:rPr>
          <w:lang w:val="en-GB"/>
        </w:rPr>
        <w:fldChar w:fldCharType="end"/>
      </w:r>
      <w:r w:rsidRPr="001A5DAF">
        <w:rPr>
          <w:lang w:val="en-GB"/>
        </w:rPr>
        <w:t>.</w:t>
      </w:r>
      <w:r w:rsidR="00D07053">
        <w:rPr>
          <w:lang w:val="nb-NO"/>
        </w:rPr>
        <w:t xml:space="preserve"> </w:t>
      </w:r>
      <w:r>
        <w:rPr>
          <w:lang w:val="en-GB"/>
        </w:rPr>
        <w:t xml:space="preserve">Presenting model results visually can aid with </w:t>
      </w:r>
      <w:r w:rsidR="00FE4966">
        <w:rPr>
          <w:lang w:val="en-GB"/>
        </w:rPr>
        <w:t xml:space="preserve">the </w:t>
      </w:r>
      <w:r>
        <w:rPr>
          <w:lang w:val="en-GB"/>
        </w:rPr>
        <w:t>understanding of complex relationships but are not free from bias or misinterpretation, which is why we recommend a combination of numeric and visual communication</w:t>
      </w:r>
      <w:r w:rsidR="00D07053">
        <w:rPr>
          <w:lang w:val="en-GB"/>
        </w:rPr>
        <w:t xml:space="preserve"> </w:t>
      </w:r>
      <w:r>
        <w:rPr>
          <w:lang w:val="en-GB"/>
        </w:rPr>
        <w:fldChar w:fldCharType="begin" w:fldLock="1"/>
      </w:r>
      <w:r>
        <w:rPr>
          <w:lang w:val="en-GB"/>
        </w:rPr>
        <w:instrText>ADDIN CSL_CITATION {"citationItems":[{"id":"ITEM-1","itemData":{"abstract":"We evaluated the effectiveness of new indices of text comprehension in measuring relative text difficulty. Specifically, we examined the efficacy of automated indices produced by the web-based computational tool Coh-Metrix. In an analysis of 60 instructional science texts, we divided texts into groups that were considered to be more or less difficult to comprehend. The defining criteria were based on Coh-Metrix indices that measure independent factors underlying text coherence: referential overlap and vocabulary accessibility. In order to validate the text difficulty groups, participants read and recalled two “difficult” and two “easy” texts that were similar in topic and length. Easier texts facilitated faster reading times and better recall compared to difficult texts. We discuss the implications of these results in the context of theoretically motivated techniques for improving textbook selection. Keywords:","author":[{"dropping-particle":"","family":"Braithwaite","given":"D","non-dropping-particle":"","parse-names":false,"suffix":""},{"dropping-particle":"","family":"Goldstone","given":"R","non-dropping-particle":"","parse-names":false,"suffix":""}],"container-title":"Proceedings of the Annual Meeting of the Cognitive Science behaviour","id":"ITEM-1","issue":"35","issued":{"date-parts":[["2013"]]},"page":"1928-1933","title":"Benefits of graphical and symbolic representations of learning and transfer of statisitcal concepts","type":"article-journal","volume":"35"},"uris":["http://www.mendeley.com/documents/?uuid=cd8670ff-8c4d-443d-9426-e500374679a4","http://www.mendeley.com/documents/?uuid=43cd277a-789f-45f7-96f9-d303a0df159a"]},{"id":"ITEM-2","itemData":{"DOI":"10.5220/0005300702250232","ISBN":"9789897580888","abstract":"This paper investigates the effect of presenting uncertainty in bar and line charts in trend-finding and comparison tasks. Different options for presenting uncertainty were investigated in a carefully designed user evaluation that was conducted on statistical analysts, policy makers and journalists (N= 108). The study includes exploring several options for displaying interval estimates with and without point estimates in line and bar charts. We discuss the results for all options and derive presentation suggestions. Our study indicates that showing uncertainty improves the validity of user statements and that data without point estimates have different display needs.","author":[{"dropping-particle":"","family":"Laan","given":"D. Jan","non-dropping-particle":"Van Der","parse-names":false,"suffix":""},{"dropping-particle":"","family":"Jonge","given":"Edwin","non-dropping-particle":"De","parse-names":false,"suffix":""},{"dropping-particle":"","family":"Solcer","given":"Jessica","non-dropping-particle":"","parse-names":false,"suffix":""}],"container-title":"IVAPP 2015 - 6th International Conference on Information Visualization Theory and Applications; VISIGRAPP, Proceedings","id":"ITEM-2","issue":"May","issued":{"date-parts":[["2015"]]},"page":"225-232","title":"Effect of displaying uncertainty in line and bar charts: Presentation and interpretation","type":"paper-conference"},"uris":["http://www.mendeley.com/documents/?uuid=1b68bd95-0d3d-4a31-8b48-19c8348bbf5b","http://www.mendeley.com/documents/?uuid=b3b38503-cfe9-448a-9094-51388ad901ec"]}],"mendeley":{"formattedCitation":"(Braithwaite and Goldstone, 2013; Van Der Laan et al., 2015)","plainTextFormattedCitation":"(Braithwaite and Goldstone, 2013; Van Der Laan et al., 2015)","previouslyFormattedCitation":"(Braithwaite and Goldstone, 2013; Van Der Laan et al., 2015)"},"properties":{"noteIndex":0},"schema":"https://github.com/citation-style-language/schema/raw/master/csl-citation.json"}</w:instrText>
      </w:r>
      <w:r>
        <w:rPr>
          <w:lang w:val="en-GB"/>
        </w:rPr>
        <w:fldChar w:fldCharType="separate"/>
      </w:r>
      <w:r>
        <w:rPr>
          <w:noProof/>
          <w:lang w:val="en-GB"/>
        </w:rPr>
        <w:t>(Braithwaite and Goldstone, 2013; Van Der Laan et al., 2015)</w:t>
      </w:r>
      <w:r>
        <w:rPr>
          <w:lang w:val="en-GB"/>
        </w:rPr>
        <w:fldChar w:fldCharType="end"/>
      </w:r>
      <w:r>
        <w:rPr>
          <w:lang w:val="en-GB"/>
        </w:rPr>
        <w:t>. We recommend as a best practice that the code used to produce uncertainty presentations is shared to enhance the replicability and transparency of uncertainty quantification.</w:t>
      </w:r>
    </w:p>
    <w:p w14:paraId="7B3E2CE4" w14:textId="77777777" w:rsidR="00644FDF" w:rsidRDefault="00C732FA">
      <w:pPr>
        <w:rPr>
          <w:lang w:val="en-GB"/>
        </w:rPr>
      </w:pPr>
      <w:r>
        <w:rPr>
          <w:lang w:val="en-GB"/>
        </w:rPr>
        <w:t xml:space="preserve"> </w:t>
      </w:r>
    </w:p>
    <w:p w14:paraId="1B4D2815" w14:textId="77777777" w:rsidR="00644FDF" w:rsidRDefault="00C732FA">
      <w:pPr>
        <w:rPr>
          <w:lang w:val="en-GB"/>
        </w:rPr>
      </w:pPr>
      <w:r>
        <w:rPr>
          <w:lang w:val="en-GB"/>
        </w:rPr>
        <w:t xml:space="preserve">To effectively implement our communication recommendations, we advise developing </w:t>
      </w:r>
      <w:r>
        <w:rPr>
          <w:highlight w:val="white"/>
          <w:lang w:val="en-GB"/>
        </w:rPr>
        <w:t xml:space="preserve">a set of standard uncertainty analyses and tools to implement them (either within existing software/packages or as post-processing steps) so that every modeller can generate uncertainty metrics for their work. This would allow </w:t>
      </w:r>
      <w:r>
        <w:rPr>
          <w:lang w:val="en-GB"/>
        </w:rPr>
        <w:t xml:space="preserve">easier production of visual or summary tabular representations of model-based uncertainties, which can be included in the main manuscript text. This should then be coupled with larger tables of numeric values in supplemental information including full uncertainty bounds for each quantifiable source from the source framework. Again, we can take inspiration on good practice for uncertainty communication from some of the fields included in our audit. For example, Health Science presents uncertainty using numeric, visual, and text methods 40% of the time and includes some numeric representation &gt; 95% of the time. An example of good practice we encountered was </w:t>
      </w:r>
      <w:proofErr w:type="spellStart"/>
      <w:r>
        <w:rPr>
          <w:lang w:val="en-GB"/>
        </w:rPr>
        <w:t>Heisser</w:t>
      </w:r>
      <w:proofErr w:type="spellEnd"/>
      <w:r>
        <w:rPr>
          <w:lang w:val="en-GB"/>
        </w:rPr>
        <w:t xml:space="preserve"> et al.</w:t>
      </w:r>
      <w:r>
        <w:rPr>
          <w:vertAlign w:val="superscript"/>
          <w:lang w:val="en-GB"/>
        </w:rPr>
        <w:t xml:space="preserve"> </w:t>
      </w:r>
      <w:r>
        <w:rPr>
          <w:lang w:val="en-GB"/>
        </w:rPr>
        <w:fldChar w:fldCharType="begin" w:fldLock="1"/>
      </w:r>
      <w:r>
        <w:rPr>
          <w:vertAlign w:val="superscript"/>
          <w:lang w:val="en-GB"/>
        </w:rPr>
        <w:instrText>ADDIN CSL_CITATION {"citationItems":[{"id":"ITEM-1","itemData":{"DOI":"10.1136/bmj.l6109","ISSN":"17561833","PMID":"31722884","abstract":"Objective To review and summarise the evidence on the prevalence of colorectal adenomas and cancers at a follow-up screening colonoscopy after negative index colonoscopy, stratified by interval between examinations and by sex. Design Systematic review and meta-analysis of all available studies. Data sources PubMed, Web of Science, and Embase. Two investigators independently extracted characteristics and results of identified studies and performed standardised quality ratings. Eligibility criteria Studies assessing the outcome of a follow-up colonoscopy among participants at average risk for colorectal cancer with a negative previous colonoscopy (no adenomas). Results 28 studies were identified, including 22 cohort studies, five cross sectional studies, and one case-control study. Findings for an interval between colonoscopies of one to five, five to 10, and more than 10 years were reported by 17, 16, and three studies, respectively. Summary estimates of prevalences of any neoplasm were 20.7% (95% confidence interval 15.8% to 25.5%), 23.0% (18.0% to 28.0%), and 21.9% (14.9% to 29.0%) for one to five, five to 10, and more than 10 years between colonoscopies. Corresponding summary estimates of prevalences of any advanced neoplasm were 2.8% (2.0% to 3.7%), 3.2% (2.2% to 4.1%), and 7.0% (5.3% to 8.7%). Seven studies also reported findings stratified by sex. Summary estimates stratified by interval and sex were consistently higher for men than for women. Conclusions Although detection of any neoplasms was observed in more than 20% of participants within five years of a negative screening colonoscopy, detection of advanced neoplasms within 10 years was rare. Our findings suggest that 10 year intervals for colonoscopy screening after a negative colonoscopy, as currently recommended, may be adequate, but more studies are needed to strengthen the empirical basis for pertinent recommendations and to investigate even longer intervals. Study registration Prospero CRD42019127842.","author":[{"dropping-particle":"","family":"Heisser","given":"Thomas","non-dropping-particle":"","parse-names":false,"suffix":""},{"dropping-particle":"","family":"Peng","given":"Le","non-dropping-particle":"","parse-names":false,"suffix":""},{"dropping-particle":"","family":"Weigl","given":"Korbinian","non-dropping-particle":"","parse-names":false,"suffix":""},{"dropping-particle":"","family":"Hoffmeister","given":"Michael","non-dropping-particle":"","parse-names":false,"suffix":""},{"dropping-particle":"","family":"Brenner","given":"Hermann","non-dropping-particle":"","parse-names":false,"suffix":""}],"container-title":"The BMJ","id":"ITEM-1","issued":{"date-parts":[["2019"]]},"page":"1-10","title":"Outcomes at follow-up of negative colonoscopy in average risk population: Systematic review and meta-analysis","type":"article-journal","volume":"367"},"uris":["http://www.mendeley.com/documents/?uuid=2e7999bf-df49-470f-97aa-ae0dd6c6a3e0"]}],"mendeley":{"formattedCitation":"(Heisser et al., 2019)","plainTextFormattedCitation":"(Heisser et al., 2019)","previouslyFormattedCitation":"(Heisser et al., 2019)"},"properties":{"noteIndex":0},"schema":"https://github.com/citation-style-language/schema/raw/master/csl-citation.json"}</w:instrText>
      </w:r>
      <w:r>
        <w:rPr>
          <w:vertAlign w:val="superscript"/>
          <w:lang w:val="en-GB"/>
        </w:rPr>
        <w:fldChar w:fldCharType="separate"/>
      </w:r>
      <w:r>
        <w:rPr>
          <w:noProof/>
          <w:lang w:val="en-GB"/>
        </w:rPr>
        <w:t>(Heisser et al., 2019)</w:t>
      </w:r>
      <w:r>
        <w:rPr>
          <w:vertAlign w:val="superscript"/>
          <w:lang w:val="en-GB"/>
        </w:rPr>
        <w:fldChar w:fldCharType="end"/>
      </w:r>
      <w:r>
        <w:rPr>
          <w:lang w:val="en-GB"/>
        </w:rPr>
        <w:t xml:space="preserve"> who coupled visual presentation with numeric bounds in their Figure 3. In contrast, other fields such as Climate Science, Evolution, and Neuroscience report uncertainty numerically less than 50% of the time. These fields can learn from standard practice and examples from Health Science to improve their own uncertainty communication. The transferability of good practice will depend somewhat on the model used, for example, visual presentation of parameter uncertainty for a model with greater than 100 parameters will not be practical. However, inspiration can still be taken to improve communication of uncertainty when presentation is practical.</w:t>
      </w:r>
    </w:p>
    <w:p w14:paraId="7A076DD7" w14:textId="77777777" w:rsidR="00644FDF" w:rsidRDefault="00C732FA">
      <w:pPr>
        <w:rPr>
          <w:lang w:val="en-GB"/>
        </w:rPr>
      </w:pPr>
      <w:r>
        <w:rPr>
          <w:noProof/>
          <w:lang w:val="es-ES" w:eastAsia="es-ES"/>
        </w:rPr>
        <w:lastRenderedPageBreak/>
        <w:drawing>
          <wp:inline distT="0" distB="0" distL="0" distR="0" wp14:anchorId="40203436" wp14:editId="7B3A3862">
            <wp:extent cx="5956300" cy="595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56300" cy="5956300"/>
                    </a:xfrm>
                    <a:prstGeom prst="rect">
                      <a:avLst/>
                    </a:prstGeom>
                  </pic:spPr>
                </pic:pic>
              </a:graphicData>
            </a:graphic>
          </wp:inline>
        </w:drawing>
      </w:r>
    </w:p>
    <w:p w14:paraId="0A0DC480" w14:textId="48C29225" w:rsidR="00644FDF" w:rsidRDefault="00C732FA">
      <w:pPr>
        <w:rPr>
          <w:lang w:val="en-GB"/>
        </w:rPr>
      </w:pPr>
      <w:r>
        <w:rPr>
          <w:b/>
          <w:bCs/>
          <w:i/>
          <w:sz w:val="20"/>
          <w:szCs w:val="20"/>
          <w:lang w:val="en-GB"/>
        </w:rPr>
        <w:t>F</w:t>
      </w:r>
      <w:r w:rsidR="00336B26">
        <w:rPr>
          <w:b/>
          <w:bCs/>
          <w:i/>
          <w:sz w:val="20"/>
          <w:szCs w:val="20"/>
          <w:lang w:val="en-GB"/>
        </w:rPr>
        <w:t xml:space="preserve">igure </w:t>
      </w:r>
      <w:r>
        <w:rPr>
          <w:b/>
          <w:bCs/>
          <w:i/>
          <w:sz w:val="20"/>
          <w:szCs w:val="20"/>
          <w:lang w:val="en-GB"/>
        </w:rPr>
        <w:t>3: Venn diagrams of presentation methods for uncertainty (legend in the centre) by field.</w:t>
      </w:r>
      <w:r>
        <w:rPr>
          <w:i/>
          <w:sz w:val="20"/>
          <w:szCs w:val="20"/>
          <w:lang w:val="en-GB"/>
        </w:rPr>
        <w:t xml:space="preserve"> Black edged segments are our good practice recommendation of visual + numeric or visual + numeric + text.</w:t>
      </w:r>
      <w:r>
        <w:rPr>
          <w:sz w:val="24"/>
          <w:szCs w:val="24"/>
          <w:lang w:val="en-GB"/>
        </w:rPr>
        <w:t xml:space="preserve"> </w:t>
      </w:r>
    </w:p>
    <w:p w14:paraId="4D380B7C" w14:textId="77777777" w:rsidR="00644FDF" w:rsidRDefault="00644FDF">
      <w:pPr>
        <w:rPr>
          <w:lang w:val="en-GB"/>
        </w:rPr>
      </w:pPr>
    </w:p>
    <w:p w14:paraId="7A1D7B98" w14:textId="77777777" w:rsidR="00644FDF" w:rsidRDefault="00644FDF">
      <w:pPr>
        <w:rPr>
          <w:lang w:val="en-GB"/>
        </w:rPr>
      </w:pPr>
    </w:p>
    <w:p w14:paraId="581B7778" w14:textId="77777777" w:rsidR="00644FDF" w:rsidRDefault="00644FDF">
      <w:pPr>
        <w:rPr>
          <w:lang w:val="en-GB"/>
        </w:rPr>
      </w:pPr>
    </w:p>
    <w:p w14:paraId="30C31D2C" w14:textId="77777777" w:rsidR="00644FDF" w:rsidRDefault="00644FDF">
      <w:pPr>
        <w:rPr>
          <w:lang w:val="en-GB"/>
        </w:rPr>
      </w:pPr>
    </w:p>
    <w:p w14:paraId="4842EE03" w14:textId="77777777" w:rsidR="00644FDF" w:rsidRDefault="00644FDF">
      <w:pPr>
        <w:rPr>
          <w:lang w:val="en-GB"/>
        </w:rPr>
      </w:pPr>
    </w:p>
    <w:p w14:paraId="4AB1B870" w14:textId="77777777" w:rsidR="00644FDF" w:rsidRDefault="00644FDF">
      <w:pPr>
        <w:rPr>
          <w:lang w:val="en-GB"/>
        </w:rPr>
      </w:pPr>
    </w:p>
    <w:p w14:paraId="1EFD883E" w14:textId="77777777" w:rsidR="00644FDF" w:rsidRDefault="00644FDF">
      <w:pPr>
        <w:rPr>
          <w:lang w:val="en-GB"/>
        </w:rPr>
      </w:pPr>
    </w:p>
    <w:p w14:paraId="7F60670B" w14:textId="77777777" w:rsidR="00644FDF" w:rsidRDefault="00644FDF">
      <w:pPr>
        <w:rPr>
          <w:lang w:val="en-GB"/>
        </w:rPr>
      </w:pPr>
    </w:p>
    <w:p w14:paraId="305E1DDD" w14:textId="77777777" w:rsidR="00644FDF" w:rsidRDefault="00644FDF">
      <w:pPr>
        <w:rPr>
          <w:lang w:val="en-GB"/>
        </w:rPr>
      </w:pPr>
    </w:p>
    <w:p w14:paraId="25AC6D58" w14:textId="77777777" w:rsidR="00644FDF" w:rsidRDefault="00644FDF">
      <w:pPr>
        <w:rPr>
          <w:lang w:val="en-GB"/>
        </w:rPr>
      </w:pPr>
    </w:p>
    <w:p w14:paraId="62EB9C70" w14:textId="77777777" w:rsidR="00644FDF" w:rsidRDefault="00C732FA">
      <w:pPr>
        <w:tabs>
          <w:tab w:val="left" w:pos="1412"/>
        </w:tabs>
        <w:rPr>
          <w:lang w:val="en-GB"/>
        </w:rPr>
      </w:pPr>
      <w:r>
        <w:rPr>
          <w:lang w:val="en-GB"/>
        </w:rPr>
        <w:tab/>
      </w:r>
    </w:p>
    <w:p w14:paraId="03DD5BDE" w14:textId="77777777" w:rsidR="00644FDF" w:rsidRDefault="00644FDF">
      <w:pPr>
        <w:rPr>
          <w:lang w:val="en-GB"/>
        </w:rPr>
      </w:pPr>
    </w:p>
    <w:p w14:paraId="5E1A0BB1" w14:textId="77777777" w:rsidR="00644FDF" w:rsidRDefault="00644FDF">
      <w:pPr>
        <w:rPr>
          <w:lang w:val="en-GB"/>
        </w:rPr>
      </w:pPr>
    </w:p>
    <w:p w14:paraId="283F8069" w14:textId="77777777" w:rsidR="00644FDF" w:rsidRDefault="00644FDF">
      <w:pPr>
        <w:rPr>
          <w:lang w:val="en-GB"/>
        </w:rPr>
      </w:pPr>
    </w:p>
    <w:p w14:paraId="272E0055" w14:textId="77777777" w:rsidR="00644FDF" w:rsidRDefault="00644FDF">
      <w:pPr>
        <w:pBdr>
          <w:bottom w:val="single" w:sz="36" w:space="1" w:color="000000"/>
        </w:pBdr>
        <w:rPr>
          <w:lang w:val="en-GB"/>
        </w:rPr>
      </w:pPr>
    </w:p>
    <w:p w14:paraId="2ACF7B98" w14:textId="77777777" w:rsidR="00644FDF" w:rsidRDefault="00C732FA">
      <w:pPr>
        <w:rPr>
          <w:lang w:val="en-GB"/>
        </w:rPr>
      </w:pPr>
      <w:r>
        <w:rPr>
          <w:lang w:val="en-GB"/>
        </w:rPr>
        <w:t xml:space="preserve"> </w:t>
      </w:r>
    </w:p>
    <w:p w14:paraId="74C55154" w14:textId="77777777" w:rsidR="00644FDF" w:rsidRDefault="00C732FA">
      <w:pPr>
        <w:rPr>
          <w:i/>
          <w:sz w:val="20"/>
          <w:szCs w:val="20"/>
          <w:lang w:val="en-GB"/>
        </w:rPr>
      </w:pPr>
      <w:r>
        <w:rPr>
          <w:i/>
          <w:sz w:val="20"/>
          <w:szCs w:val="20"/>
          <w:lang w:val="en-GB"/>
        </w:rPr>
        <w:t xml:space="preserve">Box 2: GOOD PRACTICE GUIDELINES FOR ALL </w:t>
      </w:r>
      <w:proofErr w:type="gramStart"/>
      <w:r>
        <w:rPr>
          <w:i/>
          <w:sz w:val="20"/>
          <w:szCs w:val="20"/>
          <w:lang w:val="en-GB"/>
        </w:rPr>
        <w:t>MODELS</w:t>
      </w:r>
      <w:proofErr w:type="gramEnd"/>
      <w:r>
        <w:rPr>
          <w:i/>
          <w:sz w:val="20"/>
          <w:szCs w:val="20"/>
          <w:lang w:val="en-GB"/>
        </w:rPr>
        <w:t xml:space="preserve"> TYPES including CASE STUDY implementation for each uncertainty source as identified during our assessment for statistical models. </w:t>
      </w:r>
    </w:p>
    <w:p w14:paraId="50CDFEEC" w14:textId="77777777" w:rsidR="00644FDF" w:rsidRDefault="00C732FA">
      <w:pPr>
        <w:rPr>
          <w:i/>
          <w:sz w:val="20"/>
          <w:szCs w:val="20"/>
          <w:lang w:val="en-GB"/>
        </w:rPr>
      </w:pPr>
      <w:r>
        <w:rPr>
          <w:i/>
          <w:sz w:val="20"/>
          <w:szCs w:val="20"/>
          <w:lang w:val="en-GB"/>
        </w:rPr>
        <w:t xml:space="preserve"> </w:t>
      </w:r>
    </w:p>
    <w:tbl>
      <w:tblPr>
        <w:tblW w:w="10622" w:type="dxa"/>
        <w:tblLayout w:type="fixed"/>
        <w:tblCellMar>
          <w:top w:w="100" w:type="dxa"/>
          <w:left w:w="100" w:type="dxa"/>
          <w:bottom w:w="100" w:type="dxa"/>
          <w:right w:w="100" w:type="dxa"/>
        </w:tblCellMar>
        <w:tblLook w:val="0600" w:firstRow="0" w:lastRow="0" w:firstColumn="0" w:lastColumn="0" w:noHBand="1" w:noVBand="1"/>
      </w:tblPr>
      <w:tblGrid>
        <w:gridCol w:w="1725"/>
        <w:gridCol w:w="2070"/>
        <w:gridCol w:w="1440"/>
        <w:gridCol w:w="5387"/>
      </w:tblGrid>
      <w:tr w:rsidR="00644FDF" w14:paraId="7FF22D0B" w14:textId="77777777">
        <w:trPr>
          <w:trHeight w:val="4310"/>
        </w:trPr>
        <w:tc>
          <w:tcPr>
            <w:tcW w:w="10622" w:type="dxa"/>
            <w:gridSpan w:val="4"/>
            <w:tcBorders>
              <w:top w:val="single" w:sz="8" w:space="0" w:color="4F81BD"/>
              <w:left w:val="single" w:sz="8" w:space="0" w:color="4F81BD"/>
              <w:bottom w:val="single" w:sz="8" w:space="0" w:color="4F81BD"/>
              <w:right w:val="single" w:sz="8" w:space="0" w:color="4F81BD"/>
            </w:tcBorders>
            <w:shd w:val="clear" w:color="auto" w:fill="4F81BD"/>
          </w:tcPr>
          <w:p w14:paraId="09B983DF" w14:textId="77777777" w:rsidR="00644FDF" w:rsidRDefault="00C732FA">
            <w:pPr>
              <w:widowControl w:val="0"/>
              <w:rPr>
                <w:b/>
                <w:bCs/>
                <w:color w:val="FFFFFF"/>
                <w:lang w:val="en-GB"/>
              </w:rPr>
            </w:pPr>
            <w:r>
              <w:rPr>
                <w:b/>
                <w:bCs/>
                <w:color w:val="FFFFFF"/>
                <w:lang w:val="en-GB"/>
              </w:rPr>
              <w:t>Good practice common to all model types:</w:t>
            </w:r>
          </w:p>
          <w:p w14:paraId="2D04B736" w14:textId="77777777" w:rsidR="00644FDF" w:rsidRDefault="00C732FA">
            <w:pPr>
              <w:widowControl w:val="0"/>
              <w:rPr>
                <w:color w:val="FFFFFF"/>
                <w:lang w:val="en-GB"/>
              </w:rPr>
            </w:pPr>
            <w:r>
              <w:rPr>
                <w:color w:val="FFFFFF"/>
                <w:lang w:val="en-GB"/>
              </w:rPr>
              <w:t xml:space="preserve"> </w:t>
            </w:r>
          </w:p>
          <w:p w14:paraId="28F56B1C" w14:textId="77777777" w:rsidR="00644FDF" w:rsidRDefault="00C732FA">
            <w:pPr>
              <w:pStyle w:val="ListParagraph"/>
              <w:widowControl w:val="0"/>
              <w:numPr>
                <w:ilvl w:val="0"/>
                <w:numId w:val="3"/>
              </w:numPr>
              <w:ind w:right="140"/>
              <w:rPr>
                <w:color w:val="FFFFFF"/>
                <w:sz w:val="20"/>
                <w:szCs w:val="20"/>
                <w:lang w:val="en-GB"/>
              </w:rPr>
            </w:pPr>
            <w:r>
              <w:rPr>
                <w:color w:val="FFFFFF"/>
                <w:sz w:val="20"/>
                <w:szCs w:val="20"/>
                <w:lang w:val="en-GB"/>
              </w:rPr>
              <w:t xml:space="preserve">Compare, contrast, or represent (through averaging of parameter estimates) the results of alternative </w:t>
            </w:r>
            <w:r>
              <w:rPr>
                <w:b/>
                <w:color w:val="FFFFFF"/>
                <w:sz w:val="20"/>
                <w:szCs w:val="20"/>
                <w:lang w:val="en-GB"/>
              </w:rPr>
              <w:t>model structures</w:t>
            </w:r>
          </w:p>
          <w:p w14:paraId="6A1AD880" w14:textId="77777777" w:rsidR="00644FDF" w:rsidRDefault="00C732FA">
            <w:pPr>
              <w:pStyle w:val="ListParagraph"/>
              <w:widowControl w:val="0"/>
              <w:numPr>
                <w:ilvl w:val="0"/>
                <w:numId w:val="3"/>
              </w:numPr>
              <w:rPr>
                <w:color w:val="FFFFFF"/>
                <w:lang w:val="en-GB"/>
              </w:rPr>
            </w:pPr>
            <w:r>
              <w:rPr>
                <w:color w:val="FFFFFF"/>
                <w:sz w:val="20"/>
                <w:szCs w:val="20"/>
                <w:lang w:val="en-GB"/>
              </w:rPr>
              <w:t>Discuss any uncertainty sources that were not quantified explicitly in the main text or discussion section and, explain why and detail how this could impact the results and conclusions of the analysis. Include a dedicated ‘uncertainty’ section of the paper (possibly in supplemental information)</w:t>
            </w:r>
          </w:p>
          <w:p w14:paraId="22F0A3B5" w14:textId="77777777" w:rsidR="00644FDF" w:rsidRDefault="00C732FA">
            <w:pPr>
              <w:pStyle w:val="ListParagraph"/>
              <w:widowControl w:val="0"/>
              <w:numPr>
                <w:ilvl w:val="0"/>
                <w:numId w:val="3"/>
              </w:numPr>
              <w:rPr>
                <w:color w:val="FFFFFF"/>
                <w:lang w:val="en-GB"/>
              </w:rPr>
            </w:pPr>
            <w:r>
              <w:rPr>
                <w:color w:val="FFFFFF"/>
                <w:sz w:val="20"/>
                <w:szCs w:val="20"/>
                <w:lang w:val="en-GB"/>
              </w:rPr>
              <w:t xml:space="preserve">Publish code and/or data/model output used for the analyses to ensure work is </w:t>
            </w:r>
            <w:r>
              <w:rPr>
                <w:b/>
                <w:color w:val="FFFFFF"/>
                <w:sz w:val="20"/>
                <w:szCs w:val="20"/>
                <w:lang w:val="en-GB"/>
              </w:rPr>
              <w:t>reproducible and reusable</w:t>
            </w:r>
          </w:p>
          <w:p w14:paraId="04C51E3D" w14:textId="77777777" w:rsidR="00644FDF" w:rsidRDefault="00644FDF">
            <w:pPr>
              <w:widowControl w:val="0"/>
              <w:rPr>
                <w:color w:val="FFFFFF"/>
                <w:lang w:val="en-GB"/>
              </w:rPr>
            </w:pPr>
          </w:p>
          <w:p w14:paraId="1925C894" w14:textId="77777777" w:rsidR="00644FDF" w:rsidRDefault="00C732FA">
            <w:pPr>
              <w:widowControl w:val="0"/>
              <w:rPr>
                <w:color w:val="FFFFFF"/>
                <w:lang w:val="en-GB"/>
              </w:rPr>
            </w:pPr>
            <w:r>
              <w:rPr>
                <w:b/>
                <w:bCs/>
                <w:color w:val="FFFFFF"/>
                <w:lang w:val="en-GB"/>
              </w:rPr>
              <w:t>Statistical model good practice</w:t>
            </w:r>
            <w:r>
              <w:rPr>
                <w:color w:val="FFFFFF"/>
                <w:lang w:val="en-GB"/>
              </w:rPr>
              <w:t>:</w:t>
            </w:r>
          </w:p>
          <w:p w14:paraId="598C9501" w14:textId="77777777" w:rsidR="00644FDF" w:rsidRDefault="00C732FA">
            <w:pPr>
              <w:pStyle w:val="ListParagraph"/>
              <w:widowControl w:val="0"/>
              <w:numPr>
                <w:ilvl w:val="0"/>
                <w:numId w:val="3"/>
              </w:numPr>
              <w:ind w:right="140"/>
              <w:rPr>
                <w:color w:val="FFFFFF"/>
                <w:sz w:val="20"/>
                <w:szCs w:val="20"/>
                <w:lang w:val="en-GB"/>
              </w:rPr>
            </w:pPr>
            <w:r>
              <w:rPr>
                <w:color w:val="FFFFFF"/>
                <w:sz w:val="20"/>
                <w:szCs w:val="20"/>
                <w:lang w:val="en-GB"/>
              </w:rPr>
              <w:t xml:space="preserve">Quantify any error in the </w:t>
            </w:r>
            <w:r>
              <w:rPr>
                <w:b/>
                <w:bCs/>
                <w:color w:val="FFFFFF"/>
                <w:sz w:val="20"/>
                <w:szCs w:val="20"/>
                <w:lang w:val="en-GB"/>
              </w:rPr>
              <w:t>response</w:t>
            </w:r>
            <w:r>
              <w:rPr>
                <w:color w:val="FFFFFF"/>
                <w:sz w:val="20"/>
                <w:szCs w:val="20"/>
                <w:lang w:val="en-GB"/>
              </w:rPr>
              <w:t xml:space="preserve"> data. This can be in the form of explicit modelling of measurement/observation error and subsequent correction, correction for non-independence, or an estimation of the error/bias that is propagated into the focal model</w:t>
            </w:r>
          </w:p>
          <w:p w14:paraId="013D2CE5" w14:textId="4DD7A997" w:rsidR="00644FDF" w:rsidRDefault="00C732FA">
            <w:pPr>
              <w:pStyle w:val="ListParagraph"/>
              <w:widowControl w:val="0"/>
              <w:numPr>
                <w:ilvl w:val="0"/>
                <w:numId w:val="3"/>
              </w:numPr>
              <w:ind w:right="140"/>
              <w:rPr>
                <w:color w:val="FFFFFF"/>
                <w:sz w:val="20"/>
                <w:szCs w:val="20"/>
                <w:lang w:val="en-GB"/>
              </w:rPr>
            </w:pPr>
            <w:r>
              <w:rPr>
                <w:color w:val="FFFFFF"/>
                <w:sz w:val="20"/>
                <w:szCs w:val="20"/>
                <w:lang w:val="en-GB"/>
              </w:rPr>
              <w:t xml:space="preserve">Quantify any error in the </w:t>
            </w:r>
            <w:r>
              <w:rPr>
                <w:b/>
                <w:bCs/>
                <w:color w:val="FFFFFF"/>
                <w:sz w:val="20"/>
                <w:szCs w:val="20"/>
                <w:lang w:val="en-GB"/>
              </w:rPr>
              <w:t>explanatory variable</w:t>
            </w:r>
            <w:r>
              <w:rPr>
                <w:color w:val="FFFFFF"/>
                <w:sz w:val="20"/>
                <w:szCs w:val="20"/>
                <w:lang w:val="en-GB"/>
              </w:rPr>
              <w:t xml:space="preserve"> data. This can be in the form of explicit modelling of measurement/observation error (using existing standards</w:t>
            </w:r>
            <w:r w:rsidR="009148BD">
              <w:rPr>
                <w:color w:val="FFFFFF"/>
                <w:sz w:val="20"/>
                <w:szCs w:val="20"/>
                <w:lang w:val="en-GB"/>
              </w:rPr>
              <w:t>,</w:t>
            </w:r>
            <w:r>
              <w:rPr>
                <w:color w:val="FFFFFF"/>
                <w:sz w:val="20"/>
                <w:szCs w:val="20"/>
                <w:lang w:val="en-GB"/>
              </w:rPr>
              <w:t xml:space="preserve"> e.g. those from the International Standards Organisation </w:t>
            </w:r>
            <w:r>
              <w:rPr>
                <w:color w:val="FFFFFF"/>
                <w:sz w:val="20"/>
                <w:szCs w:val="20"/>
                <w:lang w:val="en-GB"/>
              </w:rPr>
              <w:fldChar w:fldCharType="begin" w:fldLock="1"/>
            </w:r>
            <w:r>
              <w:rPr>
                <w:color w:val="FFFFFF"/>
                <w:sz w:val="20"/>
                <w:szCs w:val="20"/>
                <w:lang w:val="en-GB"/>
              </w:rPr>
              <w:instrText>ADDIN CSL_CITATION {"citationItems":[{"id":"ITEM-1","itemData":{"author":[{"dropping-particle":"","family":"JCGM","given":"","non-dropping-particle":"","parse-names":false,"suffix":""}],"id":"ITEM-1","issued":{"date-parts":[["2008"]]},"title":"ISO.IEC Guide 98-3:2008: Uncertainty of Measurement -- Part 3: Guide to the Expression of Uncertainty in Measurement (GUM: 1995)","type":"report"},"uris":["http://www.mendeley.com/documents/?uuid=8850b859-7159-4637-ac84-1eb82a30fdd0"]}],"mendeley":{"formattedCitation":"(JCGM, 2008)","plainTextFormattedCitation":"(JCGM, 2008)","previouslyFormattedCitation":"(JCGM, 2008)"},"properties":{"noteIndex":0},"schema":"https://github.com/citation-style-language/schema/raw/master/csl-citation.json"}</w:instrText>
            </w:r>
            <w:r>
              <w:rPr>
                <w:color w:val="FFFFFF"/>
                <w:sz w:val="20"/>
                <w:szCs w:val="20"/>
                <w:lang w:val="en-GB"/>
              </w:rPr>
              <w:fldChar w:fldCharType="separate"/>
            </w:r>
            <w:r>
              <w:rPr>
                <w:noProof/>
                <w:color w:val="FFFFFF"/>
                <w:sz w:val="20"/>
                <w:szCs w:val="20"/>
                <w:lang w:val="en-GB"/>
              </w:rPr>
              <w:t>(JCGM, 2008)</w:t>
            </w:r>
            <w:r>
              <w:rPr>
                <w:color w:val="FFFFFF"/>
                <w:sz w:val="20"/>
                <w:szCs w:val="20"/>
                <w:lang w:val="en-GB"/>
              </w:rPr>
              <w:fldChar w:fldCharType="end"/>
            </w:r>
            <w:r>
              <w:rPr>
                <w:color w:val="FFFFFF"/>
                <w:sz w:val="20"/>
                <w:szCs w:val="20"/>
                <w:lang w:val="en-GB"/>
              </w:rPr>
              <w:t>, where possible) and subsequent correction, correction for non-independence or confounding variables, an ensemble approach to represent multiple data sources, or an estimation of the error/bias that is propagated into the focal model. If explanatory variable data comes from another model output (as is the case for projections of future climate) the full uncertainty associated with this output should be propagated into the focal model</w:t>
            </w:r>
          </w:p>
          <w:p w14:paraId="22F00564" w14:textId="77777777" w:rsidR="00644FDF" w:rsidRDefault="00C732FA">
            <w:pPr>
              <w:pStyle w:val="ListParagraph"/>
              <w:widowControl w:val="0"/>
              <w:numPr>
                <w:ilvl w:val="0"/>
                <w:numId w:val="3"/>
              </w:numPr>
              <w:ind w:right="140"/>
              <w:rPr>
                <w:color w:val="FFFFFF"/>
                <w:sz w:val="20"/>
                <w:szCs w:val="20"/>
                <w:lang w:val="en-GB"/>
              </w:rPr>
            </w:pPr>
            <w:r>
              <w:rPr>
                <w:color w:val="FFFFFF"/>
                <w:sz w:val="20"/>
                <w:szCs w:val="20"/>
                <w:lang w:val="en-GB"/>
              </w:rPr>
              <w:t xml:space="preserve">Present error estimates or an interval representing the plausible </w:t>
            </w:r>
            <w:r>
              <w:rPr>
                <w:b/>
                <w:bCs/>
                <w:color w:val="FFFFFF"/>
                <w:sz w:val="20"/>
                <w:szCs w:val="20"/>
                <w:lang w:val="en-GB"/>
              </w:rPr>
              <w:t>parameter</w:t>
            </w:r>
            <w:r>
              <w:rPr>
                <w:color w:val="FFFFFF"/>
                <w:sz w:val="20"/>
                <w:szCs w:val="20"/>
                <w:lang w:val="en-GB"/>
              </w:rPr>
              <w:t xml:space="preserve"> space for all unknown parameters. This could be as a confidence interval, credible interval, bootstrap interval, or standard errors. </w:t>
            </w:r>
          </w:p>
          <w:p w14:paraId="6D0B89A5" w14:textId="77777777" w:rsidR="00644FDF" w:rsidRDefault="00644FDF">
            <w:pPr>
              <w:widowControl w:val="0"/>
              <w:ind w:right="140"/>
              <w:rPr>
                <w:color w:val="FFFFFF"/>
                <w:sz w:val="20"/>
                <w:szCs w:val="20"/>
                <w:lang w:val="en-GB"/>
              </w:rPr>
            </w:pPr>
          </w:p>
          <w:p w14:paraId="6EAC6CBF" w14:textId="77777777" w:rsidR="00644FDF" w:rsidRDefault="00C732FA">
            <w:pPr>
              <w:widowControl w:val="0"/>
              <w:rPr>
                <w:b/>
                <w:bCs/>
                <w:color w:val="FFFFFF"/>
                <w:lang w:val="en-GB"/>
              </w:rPr>
            </w:pPr>
            <w:r>
              <w:rPr>
                <w:b/>
                <w:bCs/>
                <w:color w:val="FFFFFF"/>
                <w:lang w:val="en-GB"/>
              </w:rPr>
              <w:t>Dynamical model good practice:</w:t>
            </w:r>
          </w:p>
          <w:p w14:paraId="67D4CFE6" w14:textId="77777777" w:rsidR="00644FDF" w:rsidRDefault="00C732FA">
            <w:pPr>
              <w:widowControl w:val="0"/>
              <w:ind w:left="140" w:right="140"/>
              <w:rPr>
                <w:color w:val="FFFFFF"/>
                <w:sz w:val="20"/>
                <w:szCs w:val="20"/>
                <w:lang w:val="en-GB"/>
              </w:rPr>
            </w:pPr>
            <w:r>
              <w:rPr>
                <w:color w:val="FFFFFF"/>
                <w:sz w:val="20"/>
                <w:szCs w:val="20"/>
                <w:lang w:val="en-GB"/>
              </w:rPr>
              <w:t xml:space="preserve"> </w:t>
            </w:r>
          </w:p>
          <w:p w14:paraId="6A3895C6" w14:textId="77777777" w:rsidR="00644FDF" w:rsidRDefault="00C732FA">
            <w:pPr>
              <w:pStyle w:val="ListParagraph"/>
              <w:widowControl w:val="0"/>
              <w:numPr>
                <w:ilvl w:val="0"/>
                <w:numId w:val="4"/>
              </w:numPr>
              <w:ind w:right="140"/>
              <w:rPr>
                <w:rFonts w:eastAsia="Times New Roman"/>
                <w:color w:val="FFFFFF"/>
                <w:sz w:val="20"/>
                <w:szCs w:val="20"/>
                <w:lang w:val="en-GB"/>
              </w:rPr>
            </w:pPr>
            <w:r>
              <w:rPr>
                <w:color w:val="FFFFFF"/>
                <w:sz w:val="20"/>
                <w:szCs w:val="20"/>
                <w:lang w:val="en-GB"/>
              </w:rPr>
              <w:t>Quantify any uncertainty entering the model from the response, if necessary (</w:t>
            </w:r>
            <w:proofErr w:type="gramStart"/>
            <w:r>
              <w:rPr>
                <w:color w:val="FFFFFF"/>
                <w:sz w:val="20"/>
                <w:szCs w:val="20"/>
                <w:lang w:val="en-GB"/>
              </w:rPr>
              <w:t>i.e.</w:t>
            </w:r>
            <w:proofErr w:type="gramEnd"/>
            <w:r>
              <w:rPr>
                <w:color w:val="FFFFFF"/>
                <w:sz w:val="20"/>
                <w:szCs w:val="20"/>
                <w:lang w:val="en-GB"/>
              </w:rPr>
              <w:t xml:space="preserve"> when the response is not a predicted outcome of the model and the aim of the model is quantitative understanding). This can be in the form of reporting model parameters (</w:t>
            </w:r>
            <w:proofErr w:type="gramStart"/>
            <w:r>
              <w:rPr>
                <w:color w:val="FFFFFF"/>
                <w:sz w:val="20"/>
                <w:szCs w:val="20"/>
                <w:lang w:val="en-GB"/>
              </w:rPr>
              <w:t>e.g.</w:t>
            </w:r>
            <w:proofErr w:type="gramEnd"/>
            <w:r>
              <w:rPr>
                <w:color w:val="FFFFFF"/>
                <w:sz w:val="20"/>
                <w:szCs w:val="20"/>
                <w:lang w:val="en-GB"/>
              </w:rPr>
              <w:t xml:space="preserve"> probability of detection) or statistics such as repeatability</w:t>
            </w:r>
          </w:p>
          <w:p w14:paraId="17D6CA5D" w14:textId="77777777" w:rsidR="00644FDF" w:rsidRDefault="00C732FA">
            <w:pPr>
              <w:pStyle w:val="ListParagraph"/>
              <w:widowControl w:val="0"/>
              <w:numPr>
                <w:ilvl w:val="0"/>
                <w:numId w:val="4"/>
              </w:numPr>
              <w:rPr>
                <w:color w:val="FFFFFF" w:themeColor="background1"/>
                <w:sz w:val="20"/>
                <w:szCs w:val="20"/>
                <w:shd w:val="clear" w:color="auto" w:fill="9900FF"/>
                <w:lang w:val="en-GB"/>
              </w:rPr>
            </w:pPr>
            <w:r>
              <w:rPr>
                <w:color w:val="FFFFFF"/>
                <w:sz w:val="20"/>
                <w:szCs w:val="20"/>
                <w:lang w:val="en-GB"/>
              </w:rPr>
              <w:t xml:space="preserve">Quantify any relevant uncertainty in the </w:t>
            </w:r>
            <w:r>
              <w:rPr>
                <w:b/>
                <w:color w:val="FFFFFF"/>
                <w:sz w:val="20"/>
                <w:szCs w:val="20"/>
                <w:lang w:val="en-GB"/>
              </w:rPr>
              <w:t>explanatory variable</w:t>
            </w:r>
            <w:r>
              <w:rPr>
                <w:color w:val="FFFFFF"/>
                <w:sz w:val="20"/>
                <w:szCs w:val="20"/>
                <w:lang w:val="en-GB"/>
              </w:rPr>
              <w:t xml:space="preserve"> data. This can be realized by running model ensembles with perturbed fields of the explanatory variables (</w:t>
            </w:r>
            <w:proofErr w:type="spellStart"/>
            <w:r>
              <w:rPr>
                <w:color w:val="FFFFFF"/>
                <w:sz w:val="20"/>
                <w:szCs w:val="20"/>
                <w:lang w:val="en-GB"/>
              </w:rPr>
              <w:t>i.e</w:t>
            </w:r>
            <w:proofErr w:type="spellEnd"/>
            <w:r>
              <w:rPr>
                <w:color w:val="FFFFFF"/>
                <w:sz w:val="20"/>
                <w:szCs w:val="20"/>
                <w:lang w:val="en-GB"/>
              </w:rPr>
              <w:t xml:space="preserve"> model </w:t>
            </w:r>
            <w:r>
              <w:rPr>
                <w:color w:val="FFFFFF" w:themeColor="background1"/>
                <w:sz w:val="20"/>
                <w:szCs w:val="20"/>
                <w:lang w:val="en-GB"/>
              </w:rPr>
              <w:t>forcing or initial conditions in most cases) with the strongest influence on the studied response</w:t>
            </w:r>
          </w:p>
          <w:p w14:paraId="261E07CF" w14:textId="77777777" w:rsidR="00644FDF" w:rsidRDefault="00C732FA">
            <w:pPr>
              <w:pStyle w:val="ListParagraph"/>
              <w:widowControl w:val="0"/>
              <w:numPr>
                <w:ilvl w:val="0"/>
                <w:numId w:val="4"/>
              </w:numPr>
              <w:ind w:right="140"/>
              <w:rPr>
                <w:rFonts w:eastAsia="Times New Roman"/>
                <w:color w:val="FFFFFF"/>
                <w:sz w:val="20"/>
                <w:szCs w:val="20"/>
                <w:lang w:val="en-GB"/>
              </w:rPr>
            </w:pPr>
            <w:r>
              <w:rPr>
                <w:rFonts w:eastAsia="Times New Roman"/>
                <w:color w:val="FFFFFF" w:themeColor="background1"/>
                <w:sz w:val="20"/>
                <w:szCs w:val="20"/>
                <w:lang w:val="en-GB"/>
              </w:rPr>
              <w:t xml:space="preserve">While assessing uncertainty in all </w:t>
            </w:r>
            <w:r w:rsidRPr="00FE4966">
              <w:rPr>
                <w:rFonts w:eastAsia="Times New Roman"/>
                <w:color w:val="FFFFFF" w:themeColor="background1"/>
                <w:sz w:val="20"/>
                <w:szCs w:val="20"/>
                <w:lang w:val="en-GB"/>
              </w:rPr>
              <w:t>parameters in a dynamical model can be unfeasible (</w:t>
            </w:r>
            <w:r w:rsidRPr="00FE4966">
              <w:rPr>
                <w:color w:val="FFFFFF" w:themeColor="background1"/>
                <w:sz w:val="20"/>
                <w:szCs w:val="20"/>
                <w:lang w:val="en-GB"/>
              </w:rPr>
              <w:t>especially for data intensive modelling such as climate science or oceanography</w:t>
            </w:r>
            <w:r w:rsidRPr="00FE4966">
              <w:rPr>
                <w:rFonts w:eastAsia="Times New Roman"/>
                <w:color w:val="FFFFFF" w:themeColor="background1"/>
                <w:sz w:val="20"/>
                <w:szCs w:val="20"/>
                <w:lang w:val="en-GB"/>
              </w:rPr>
              <w:t xml:space="preserve">), </w:t>
            </w:r>
            <w:r w:rsidRPr="00FE4966">
              <w:rPr>
                <w:rFonts w:eastAsia="Times New Roman"/>
                <w:color w:val="FFFFFF"/>
                <w:sz w:val="20"/>
                <w:szCs w:val="20"/>
                <w:lang w:val="en-GB"/>
              </w:rPr>
              <w:t>parameter uncertainty can be quantified similarly to that of explanatory variables by running model ensembles covering a range of possible values for the parameters in those equations with the strongest influence on</w:t>
            </w:r>
            <w:r>
              <w:rPr>
                <w:rFonts w:eastAsia="Times New Roman"/>
                <w:color w:val="FFFFFF"/>
                <w:sz w:val="20"/>
                <w:szCs w:val="20"/>
                <w:lang w:val="en-GB"/>
              </w:rPr>
              <w:t xml:space="preserve"> the studied response</w:t>
            </w:r>
          </w:p>
          <w:p w14:paraId="691E689D" w14:textId="77777777" w:rsidR="00644FDF" w:rsidRDefault="00C732FA">
            <w:pPr>
              <w:pStyle w:val="ListParagraph"/>
              <w:widowControl w:val="0"/>
              <w:numPr>
                <w:ilvl w:val="0"/>
                <w:numId w:val="4"/>
              </w:numPr>
              <w:ind w:right="140"/>
              <w:rPr>
                <w:color w:val="FFFFFF"/>
                <w:sz w:val="20"/>
                <w:szCs w:val="20"/>
                <w:shd w:val="clear" w:color="auto" w:fill="9900FF"/>
                <w:lang w:val="en-GB"/>
              </w:rPr>
            </w:pPr>
            <w:r>
              <w:rPr>
                <w:rFonts w:eastAsia="Times New Roman"/>
                <w:color w:val="FFFFFF"/>
                <w:sz w:val="20"/>
                <w:szCs w:val="20"/>
                <w:lang w:val="en-GB"/>
              </w:rPr>
              <w:t>In addition, for both uncertainty in explanatory variables and parameters, simplified versions of the models could be used for a more comprehensive uncertainty analysis. Although the uncertainty quantified via such an approach would not be identical to that of the original more complex model, it would provide a dependable estimate</w:t>
            </w:r>
          </w:p>
          <w:p w14:paraId="4EA035C3" w14:textId="77777777" w:rsidR="00644FDF" w:rsidRDefault="00644FDF">
            <w:pPr>
              <w:widowControl w:val="0"/>
              <w:ind w:right="140"/>
              <w:rPr>
                <w:color w:val="FFFFFF"/>
                <w:sz w:val="20"/>
                <w:szCs w:val="20"/>
                <w:shd w:val="clear" w:color="auto" w:fill="9900FF"/>
                <w:lang w:val="en-GB"/>
              </w:rPr>
            </w:pPr>
          </w:p>
          <w:p w14:paraId="733B54CD" w14:textId="77777777" w:rsidR="00644FDF" w:rsidRDefault="00C732FA">
            <w:pPr>
              <w:widowControl w:val="0"/>
              <w:rPr>
                <w:b/>
                <w:bCs/>
                <w:color w:val="FFFFFF"/>
                <w:lang w:val="en-GB"/>
              </w:rPr>
            </w:pPr>
            <w:r>
              <w:rPr>
                <w:b/>
                <w:bCs/>
                <w:color w:val="FFFFFF"/>
                <w:lang w:val="en-GB"/>
              </w:rPr>
              <w:t>Theoretical model good practice:</w:t>
            </w:r>
          </w:p>
          <w:p w14:paraId="463129F1" w14:textId="77777777" w:rsidR="00644FDF" w:rsidRDefault="00C732FA">
            <w:pPr>
              <w:widowControl w:val="0"/>
              <w:ind w:left="140" w:right="140"/>
              <w:rPr>
                <w:color w:val="FFFFFF"/>
                <w:sz w:val="20"/>
                <w:szCs w:val="20"/>
                <w:lang w:val="en-GB"/>
              </w:rPr>
            </w:pPr>
            <w:r>
              <w:rPr>
                <w:color w:val="FFFFFF"/>
                <w:sz w:val="20"/>
                <w:szCs w:val="20"/>
                <w:lang w:val="en-GB"/>
              </w:rPr>
              <w:t xml:space="preserve"> </w:t>
            </w:r>
          </w:p>
          <w:p w14:paraId="6722EAEC" w14:textId="2D6A5C75" w:rsidR="00644FDF" w:rsidRDefault="00C732FA">
            <w:pPr>
              <w:pStyle w:val="ListParagraph"/>
              <w:widowControl w:val="0"/>
              <w:numPr>
                <w:ilvl w:val="0"/>
                <w:numId w:val="6"/>
              </w:numPr>
              <w:ind w:right="140"/>
              <w:rPr>
                <w:color w:val="FFFFFF"/>
                <w:sz w:val="20"/>
                <w:szCs w:val="20"/>
                <w:shd w:val="clear" w:color="auto" w:fill="9900FF"/>
                <w:lang w:val="en-GB"/>
              </w:rPr>
            </w:pPr>
            <w:r>
              <w:rPr>
                <w:color w:val="FFFFFF"/>
                <w:sz w:val="20"/>
                <w:szCs w:val="20"/>
                <w:lang w:val="en-GB"/>
              </w:rPr>
              <w:t xml:space="preserve">Check if it is necessary to quantify uncertainty in the </w:t>
            </w:r>
            <w:r>
              <w:rPr>
                <w:b/>
                <w:color w:val="FFFFFF"/>
                <w:sz w:val="20"/>
                <w:szCs w:val="20"/>
                <w:lang w:val="en-GB"/>
              </w:rPr>
              <w:t>response</w:t>
            </w:r>
            <w:r>
              <w:rPr>
                <w:color w:val="FFFFFF"/>
                <w:sz w:val="20"/>
                <w:szCs w:val="20"/>
                <w:lang w:val="en-GB"/>
              </w:rPr>
              <w:t>. Quantify any uncertainty in the response data.</w:t>
            </w:r>
            <w:r>
              <w:rPr>
                <w:lang w:val="en-GB"/>
              </w:rPr>
              <w:t xml:space="preserve"> </w:t>
            </w:r>
            <w:r>
              <w:rPr>
                <w:color w:val="FFFFFF"/>
                <w:sz w:val="20"/>
                <w:szCs w:val="20"/>
                <w:lang w:val="en-GB"/>
              </w:rPr>
              <w:t xml:space="preserve">Typically, a response in a theoretical model will be the outcome of the model rather than an input and is therefore predicted. The response in this case is not strictly a source of uncertainty but it does accumulate </w:t>
            </w:r>
            <w:r>
              <w:rPr>
                <w:color w:val="FFFFFF"/>
                <w:sz w:val="20"/>
                <w:szCs w:val="20"/>
                <w:lang w:val="en-GB"/>
              </w:rPr>
              <w:lastRenderedPageBreak/>
              <w:t>uncertainty from all other sources. Therefore</w:t>
            </w:r>
            <w:r w:rsidR="00E45F34">
              <w:rPr>
                <w:color w:val="FFFFFF"/>
                <w:sz w:val="20"/>
                <w:szCs w:val="20"/>
                <w:lang w:val="en-GB"/>
              </w:rPr>
              <w:t>,</w:t>
            </w:r>
            <w:r>
              <w:rPr>
                <w:color w:val="FFFFFF"/>
                <w:sz w:val="20"/>
                <w:szCs w:val="20"/>
                <w:lang w:val="en-GB"/>
              </w:rPr>
              <w:t xml:space="preserve"> to correctly represent uncertainty in the response, it is necessary to present the response accounting for the uncertainty introduced from all other sources. This can be in the form of presenting intervals around predicted response values, presenting a distribution of response values, or a range or other summary statistics that include variability of the results. May not have uncertainty if it is a deterministic model.</w:t>
            </w:r>
            <w:r>
              <w:rPr>
                <w:color w:val="FFFFFF"/>
                <w:sz w:val="20"/>
                <w:szCs w:val="20"/>
                <w:shd w:val="clear" w:color="auto" w:fill="9900FF"/>
                <w:lang w:val="en-GB"/>
              </w:rPr>
              <w:t xml:space="preserve"> </w:t>
            </w:r>
          </w:p>
          <w:p w14:paraId="419B60E9" w14:textId="77777777" w:rsidR="00644FDF" w:rsidRDefault="00C732FA">
            <w:pPr>
              <w:pStyle w:val="ListParagraph"/>
              <w:widowControl w:val="0"/>
              <w:numPr>
                <w:ilvl w:val="0"/>
                <w:numId w:val="6"/>
              </w:numPr>
              <w:ind w:right="140"/>
              <w:rPr>
                <w:color w:val="FFFFFF"/>
                <w:sz w:val="20"/>
                <w:szCs w:val="20"/>
                <w:lang w:val="en-GB"/>
              </w:rPr>
            </w:pPr>
            <w:r>
              <w:rPr>
                <w:color w:val="FFFFFF"/>
                <w:sz w:val="20"/>
                <w:szCs w:val="20"/>
                <w:lang w:val="en-GB"/>
              </w:rPr>
              <w:t xml:space="preserve">Quantify any relevant uncertainty in the </w:t>
            </w:r>
            <w:r>
              <w:rPr>
                <w:b/>
                <w:color w:val="FFFFFF"/>
                <w:sz w:val="20"/>
                <w:szCs w:val="20"/>
                <w:lang w:val="en-GB"/>
              </w:rPr>
              <w:t>explanatory variable</w:t>
            </w:r>
            <w:r>
              <w:rPr>
                <w:color w:val="FFFFFF"/>
                <w:sz w:val="20"/>
                <w:szCs w:val="20"/>
                <w:lang w:val="en-GB"/>
              </w:rPr>
              <w:t xml:space="preserve"> data. Explanatory variable data can either come from observations, experiments, or be simulated as part of the model. Each form of explanatory variable is a source of uncertainty in a different way. This uncertainty can be quantified using measurement/observation error modelling, choosing a range of values/sampling values from a distribution during a simulation or bootstrapping or sensitivity analyses to assess the impact of changes in explanatory variable values.</w:t>
            </w:r>
          </w:p>
          <w:p w14:paraId="00E1AA2F" w14:textId="77777777" w:rsidR="00644FDF" w:rsidRDefault="00C732FA">
            <w:pPr>
              <w:pStyle w:val="ListParagraph"/>
              <w:widowControl w:val="0"/>
              <w:numPr>
                <w:ilvl w:val="0"/>
                <w:numId w:val="6"/>
              </w:numPr>
              <w:ind w:right="140"/>
              <w:rPr>
                <w:color w:val="FFFFFF"/>
                <w:sz w:val="20"/>
                <w:szCs w:val="20"/>
                <w:lang w:val="en-GB"/>
              </w:rPr>
            </w:pPr>
            <w:r>
              <w:rPr>
                <w:color w:val="FFFFFF"/>
                <w:sz w:val="20"/>
                <w:szCs w:val="20"/>
                <w:lang w:val="en-GB"/>
              </w:rPr>
              <w:t xml:space="preserve">Parameter values in theoretical models are often chosen a priori or optimised using various algorithms. Often parameters are chosen specifically based on previous scientific findings, from observed data, from knowledge of physical or chemical processes, or to test a specific theory. Uncertainty in these parameters should be quantified by choosing a range of values/sampling values from a distribution during a simulation or bootstrapping or sensitivity analyses to assess the impact of changes in explanatory variable values. In some cases, there will be no uncertainty added from the unknown parameters because the question being asked is dependent on specific parameter values, for example, does an increase of 1ºC in mean sea surface temperatures cause greater carbon drawdown into food webs? In this case, the temperature parameters would need to be fixed and therefore would not be a source of uncertainty. </w:t>
            </w:r>
          </w:p>
          <w:p w14:paraId="6C4A70E3" w14:textId="77777777" w:rsidR="00644FDF" w:rsidRDefault="00C732FA">
            <w:pPr>
              <w:pStyle w:val="ListParagraph"/>
              <w:widowControl w:val="0"/>
              <w:numPr>
                <w:ilvl w:val="0"/>
                <w:numId w:val="6"/>
              </w:numPr>
              <w:ind w:right="140"/>
              <w:rPr>
                <w:color w:val="FFFFFF"/>
                <w:sz w:val="20"/>
                <w:szCs w:val="20"/>
                <w:shd w:val="clear" w:color="auto" w:fill="9900FF"/>
                <w:lang w:val="en-GB"/>
              </w:rPr>
            </w:pPr>
            <w:r>
              <w:rPr>
                <w:color w:val="FFFFFF"/>
                <w:sz w:val="20"/>
                <w:szCs w:val="20"/>
                <w:lang w:val="en-GB"/>
              </w:rPr>
              <w:t xml:space="preserve">Compare, contrast, or represent (through averaging of parameter estimates) the results of alternative </w:t>
            </w:r>
            <w:r>
              <w:rPr>
                <w:b/>
                <w:color w:val="FFFFFF"/>
                <w:sz w:val="20"/>
                <w:szCs w:val="20"/>
                <w:lang w:val="en-GB"/>
              </w:rPr>
              <w:t>model structures</w:t>
            </w:r>
            <w:r>
              <w:rPr>
                <w:color w:val="FFFFFF"/>
                <w:sz w:val="20"/>
                <w:szCs w:val="20"/>
                <w:lang w:val="en-GB"/>
              </w:rPr>
              <w:t xml:space="preserve">. This is not always relevant in theoretical models when they test if a specific model structure can produce the outcome expected. This is because the aim of many theoretical models is to test the model structure specifically. However, in other cases, where the motivation is simply to find a model that can represent reality, infinite different options could be </w:t>
            </w:r>
            <w:proofErr w:type="gramStart"/>
            <w:r>
              <w:rPr>
                <w:color w:val="FFFFFF"/>
                <w:sz w:val="20"/>
                <w:szCs w:val="20"/>
                <w:lang w:val="en-GB"/>
              </w:rPr>
              <w:t>available</w:t>
            </w:r>
            <w:proofErr w:type="gramEnd"/>
            <w:r>
              <w:rPr>
                <w:color w:val="FFFFFF"/>
                <w:sz w:val="20"/>
                <w:szCs w:val="20"/>
                <w:lang w:val="en-GB"/>
              </w:rPr>
              <w:t xml:space="preserve"> and some consideration of this breadth should be included.</w:t>
            </w:r>
          </w:p>
          <w:p w14:paraId="7ED9ADEC" w14:textId="77777777" w:rsidR="00644FDF" w:rsidRDefault="00644FDF">
            <w:pPr>
              <w:widowControl w:val="0"/>
              <w:rPr>
                <w:i/>
                <w:color w:val="FFFFFF"/>
                <w:sz w:val="20"/>
                <w:szCs w:val="20"/>
                <w:lang w:val="en-GB"/>
              </w:rPr>
            </w:pPr>
          </w:p>
        </w:tc>
      </w:tr>
      <w:tr w:rsidR="00644FDF" w14:paraId="6E5525B0" w14:textId="77777777">
        <w:trPr>
          <w:trHeight w:val="770"/>
        </w:trPr>
        <w:tc>
          <w:tcPr>
            <w:tcW w:w="10622" w:type="dxa"/>
            <w:gridSpan w:val="4"/>
            <w:tcBorders>
              <w:left w:val="single" w:sz="8" w:space="0" w:color="95B3D7"/>
              <w:bottom w:val="single" w:sz="8" w:space="0" w:color="95B3D7"/>
              <w:right w:val="single" w:sz="8" w:space="0" w:color="95B3D7"/>
            </w:tcBorders>
            <w:shd w:val="clear" w:color="auto" w:fill="DBE5F1"/>
          </w:tcPr>
          <w:p w14:paraId="08B6F802" w14:textId="77777777" w:rsidR="00644FDF" w:rsidRDefault="00C732FA">
            <w:pPr>
              <w:widowControl w:val="0"/>
              <w:rPr>
                <w:lang w:val="en-GB"/>
              </w:rPr>
            </w:pPr>
            <w:r>
              <w:rPr>
                <w:lang w:val="en-GB"/>
              </w:rPr>
              <w:lastRenderedPageBreak/>
              <w:t xml:space="preserve">Cross-disciplinary example implementations for </w:t>
            </w:r>
            <w:r>
              <w:rPr>
                <w:b/>
                <w:bCs/>
                <w:lang w:val="en-GB"/>
              </w:rPr>
              <w:t>statistical models</w:t>
            </w:r>
            <w:r>
              <w:rPr>
                <w:lang w:val="en-GB"/>
              </w:rPr>
              <w:t>:</w:t>
            </w:r>
          </w:p>
        </w:tc>
      </w:tr>
      <w:tr w:rsidR="00644FDF" w14:paraId="15C138B7" w14:textId="77777777">
        <w:trPr>
          <w:trHeight w:val="890"/>
        </w:trPr>
        <w:tc>
          <w:tcPr>
            <w:tcW w:w="1725" w:type="dxa"/>
            <w:tcBorders>
              <w:left w:val="single" w:sz="8" w:space="0" w:color="95B3D7"/>
              <w:bottom w:val="single" w:sz="8" w:space="0" w:color="95B3D7"/>
            </w:tcBorders>
            <w:shd w:val="clear" w:color="auto" w:fill="auto"/>
          </w:tcPr>
          <w:p w14:paraId="5393BD48" w14:textId="77777777" w:rsidR="00644FDF" w:rsidRDefault="00C732FA">
            <w:pPr>
              <w:widowControl w:val="0"/>
              <w:jc w:val="center"/>
              <w:rPr>
                <w:i/>
                <w:sz w:val="20"/>
                <w:szCs w:val="20"/>
                <w:lang w:val="en-GB"/>
              </w:rPr>
            </w:pPr>
            <w:r>
              <w:rPr>
                <w:i/>
                <w:sz w:val="20"/>
                <w:szCs w:val="20"/>
                <w:lang w:val="en-GB"/>
              </w:rPr>
              <w:t>Field</w:t>
            </w:r>
          </w:p>
        </w:tc>
        <w:tc>
          <w:tcPr>
            <w:tcW w:w="2070" w:type="dxa"/>
            <w:tcBorders>
              <w:left w:val="nil"/>
              <w:bottom w:val="single" w:sz="8" w:space="0" w:color="95B3D7"/>
            </w:tcBorders>
            <w:shd w:val="clear" w:color="auto" w:fill="auto"/>
          </w:tcPr>
          <w:p w14:paraId="65D1662B" w14:textId="77777777" w:rsidR="00644FDF" w:rsidRDefault="00C732FA">
            <w:pPr>
              <w:widowControl w:val="0"/>
              <w:jc w:val="center"/>
              <w:rPr>
                <w:i/>
                <w:sz w:val="20"/>
                <w:szCs w:val="20"/>
                <w:lang w:val="en-GB"/>
              </w:rPr>
            </w:pPr>
            <w:r>
              <w:rPr>
                <w:i/>
                <w:sz w:val="20"/>
                <w:szCs w:val="20"/>
                <w:lang w:val="en-GB"/>
              </w:rPr>
              <w:t>Source of uncertainty and quantification metric</w:t>
            </w:r>
          </w:p>
        </w:tc>
        <w:tc>
          <w:tcPr>
            <w:tcW w:w="1440" w:type="dxa"/>
            <w:tcBorders>
              <w:left w:val="nil"/>
              <w:bottom w:val="single" w:sz="8" w:space="0" w:color="95B3D7"/>
            </w:tcBorders>
            <w:shd w:val="clear" w:color="auto" w:fill="auto"/>
          </w:tcPr>
          <w:p w14:paraId="2D4978DB" w14:textId="77777777" w:rsidR="00644FDF" w:rsidRDefault="00C732FA">
            <w:pPr>
              <w:widowControl w:val="0"/>
              <w:jc w:val="center"/>
              <w:rPr>
                <w:i/>
                <w:sz w:val="20"/>
                <w:szCs w:val="20"/>
                <w:lang w:val="en-GB"/>
              </w:rPr>
            </w:pPr>
            <w:r>
              <w:rPr>
                <w:i/>
                <w:sz w:val="20"/>
                <w:szCs w:val="20"/>
                <w:lang w:val="en-GB"/>
              </w:rPr>
              <w:t>Citation</w:t>
            </w:r>
          </w:p>
        </w:tc>
        <w:tc>
          <w:tcPr>
            <w:tcW w:w="5387" w:type="dxa"/>
            <w:tcBorders>
              <w:left w:val="nil"/>
              <w:bottom w:val="single" w:sz="8" w:space="0" w:color="95B3D7"/>
              <w:right w:val="single" w:sz="8" w:space="0" w:color="95B3D7"/>
            </w:tcBorders>
            <w:shd w:val="clear" w:color="auto" w:fill="auto"/>
          </w:tcPr>
          <w:p w14:paraId="76AE3F59" w14:textId="77777777" w:rsidR="00644FDF" w:rsidRDefault="00C732FA">
            <w:pPr>
              <w:widowControl w:val="0"/>
              <w:jc w:val="center"/>
              <w:rPr>
                <w:i/>
                <w:sz w:val="20"/>
                <w:szCs w:val="20"/>
                <w:lang w:val="en-GB"/>
              </w:rPr>
            </w:pPr>
            <w:r>
              <w:rPr>
                <w:i/>
                <w:sz w:val="20"/>
                <w:szCs w:val="20"/>
                <w:lang w:val="en-GB"/>
              </w:rPr>
              <w:t>Details</w:t>
            </w:r>
          </w:p>
        </w:tc>
      </w:tr>
      <w:tr w:rsidR="00644FDF" w14:paraId="30F17896" w14:textId="77777777">
        <w:trPr>
          <w:trHeight w:val="2891"/>
        </w:trPr>
        <w:tc>
          <w:tcPr>
            <w:tcW w:w="1725" w:type="dxa"/>
            <w:tcBorders>
              <w:left w:val="single" w:sz="8" w:space="0" w:color="95B3D7"/>
              <w:bottom w:val="single" w:sz="8" w:space="0" w:color="95B3D7"/>
            </w:tcBorders>
            <w:shd w:val="clear" w:color="auto" w:fill="DBE5F1"/>
          </w:tcPr>
          <w:p w14:paraId="30A96FDD" w14:textId="77777777" w:rsidR="00644FDF" w:rsidRDefault="00C732FA">
            <w:pPr>
              <w:widowControl w:val="0"/>
              <w:rPr>
                <w:sz w:val="24"/>
                <w:szCs w:val="24"/>
                <w:lang w:val="en-GB"/>
              </w:rPr>
            </w:pPr>
            <w:r>
              <w:rPr>
                <w:noProof/>
                <w:lang w:val="es-ES" w:eastAsia="es-ES"/>
              </w:rPr>
              <w:drawing>
                <wp:inline distT="0" distB="0" distL="0" distR="0" wp14:anchorId="78D0BF50" wp14:editId="7B484A3C">
                  <wp:extent cx="685800" cy="685800"/>
                  <wp:effectExtent l="0" t="0" r="0" b="0"/>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a:picLocks noChangeAspect="1" noChangeArrowheads="1"/>
                          </pic:cNvPicPr>
                        </pic:nvPicPr>
                        <pic:blipFill>
                          <a:blip r:embed="rId12"/>
                          <a:stretch>
                            <a:fillRect/>
                          </a:stretch>
                        </pic:blipFill>
                        <pic:spPr bwMode="auto">
                          <a:xfrm>
                            <a:off x="0" y="0"/>
                            <a:ext cx="685800" cy="685800"/>
                          </a:xfrm>
                          <a:prstGeom prst="rect">
                            <a:avLst/>
                          </a:prstGeom>
                        </pic:spPr>
                      </pic:pic>
                    </a:graphicData>
                  </a:graphic>
                </wp:inline>
              </w:drawing>
            </w:r>
          </w:p>
        </w:tc>
        <w:tc>
          <w:tcPr>
            <w:tcW w:w="2070" w:type="dxa"/>
            <w:tcBorders>
              <w:left w:val="nil"/>
              <w:bottom w:val="single" w:sz="8" w:space="0" w:color="95B3D7"/>
            </w:tcBorders>
            <w:shd w:val="clear" w:color="auto" w:fill="DBE5F1"/>
          </w:tcPr>
          <w:p w14:paraId="6F3551A4" w14:textId="77777777" w:rsidR="00644FDF" w:rsidRDefault="00C732FA">
            <w:pPr>
              <w:widowControl w:val="0"/>
              <w:rPr>
                <w:sz w:val="24"/>
                <w:szCs w:val="24"/>
                <w:lang w:val="en-GB"/>
              </w:rPr>
            </w:pPr>
            <w:r>
              <w:rPr>
                <w:noProof/>
                <w:lang w:val="es-ES" w:eastAsia="es-ES"/>
              </w:rPr>
              <w:drawing>
                <wp:inline distT="0" distB="0" distL="0" distR="0" wp14:anchorId="1F54C879" wp14:editId="129B9A5C">
                  <wp:extent cx="1181100" cy="1270000"/>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noChangeArrowheads="1"/>
                          </pic:cNvPicPr>
                        </pic:nvPicPr>
                        <pic:blipFill>
                          <a:blip r:embed="rId13"/>
                          <a:stretch>
                            <a:fillRect/>
                          </a:stretch>
                        </pic:blipFill>
                        <pic:spPr bwMode="auto">
                          <a:xfrm>
                            <a:off x="0" y="0"/>
                            <a:ext cx="1181100" cy="1270000"/>
                          </a:xfrm>
                          <a:prstGeom prst="rect">
                            <a:avLst/>
                          </a:prstGeom>
                        </pic:spPr>
                      </pic:pic>
                    </a:graphicData>
                  </a:graphic>
                </wp:inline>
              </w:drawing>
            </w:r>
          </w:p>
        </w:tc>
        <w:tc>
          <w:tcPr>
            <w:tcW w:w="1440" w:type="dxa"/>
            <w:tcBorders>
              <w:left w:val="nil"/>
              <w:bottom w:val="single" w:sz="8" w:space="0" w:color="95B3D7"/>
            </w:tcBorders>
            <w:shd w:val="clear" w:color="auto" w:fill="DBE5F1"/>
          </w:tcPr>
          <w:p w14:paraId="6B89F10B" w14:textId="77777777" w:rsidR="00644FDF" w:rsidRDefault="00C732FA">
            <w:pPr>
              <w:widowControl w:val="0"/>
              <w:jc w:val="center"/>
              <w:rPr>
                <w:lang w:val="en-GB"/>
              </w:rPr>
            </w:pPr>
            <w:proofErr w:type="spellStart"/>
            <w:r>
              <w:rPr>
                <w:sz w:val="24"/>
                <w:szCs w:val="24"/>
                <w:lang w:val="en-GB"/>
              </w:rPr>
              <w:t>Conith</w:t>
            </w:r>
            <w:proofErr w:type="spellEnd"/>
            <w:r>
              <w:rPr>
                <w:sz w:val="24"/>
                <w:szCs w:val="24"/>
                <w:lang w:val="en-GB"/>
              </w:rPr>
              <w:t xml:space="preserve"> </w:t>
            </w:r>
            <w:r>
              <w:rPr>
                <w:i/>
                <w:lang w:val="en-GB"/>
              </w:rPr>
              <w:t>et al.</w:t>
            </w:r>
            <w:r>
              <w:rPr>
                <w:lang w:val="en-GB"/>
              </w:rPr>
              <w:t xml:space="preserve"> </w:t>
            </w:r>
            <w:r>
              <w:rPr>
                <w:i/>
                <w:lang w:val="en-GB"/>
              </w:rPr>
              <w:t>Evolution.</w:t>
            </w:r>
            <w:r>
              <w:rPr>
                <w:lang w:val="en-GB"/>
              </w:rPr>
              <w:t xml:space="preserve"> 73, 2072–2084 (2019)</w:t>
            </w:r>
          </w:p>
        </w:tc>
        <w:tc>
          <w:tcPr>
            <w:tcW w:w="5387" w:type="dxa"/>
            <w:tcBorders>
              <w:left w:val="nil"/>
              <w:bottom w:val="single" w:sz="8" w:space="0" w:color="95B3D7"/>
              <w:right w:val="single" w:sz="8" w:space="0" w:color="95B3D7"/>
            </w:tcBorders>
            <w:shd w:val="clear" w:color="auto" w:fill="DBE5F1"/>
          </w:tcPr>
          <w:p w14:paraId="25F12590" w14:textId="70E71F79" w:rsidR="00644FDF" w:rsidRDefault="00C732FA">
            <w:pPr>
              <w:widowControl w:val="0"/>
              <w:ind w:right="140"/>
              <w:rPr>
                <w:sz w:val="18"/>
                <w:szCs w:val="18"/>
                <w:lang w:val="en-GB"/>
              </w:rPr>
            </w:pPr>
            <w:r>
              <w:rPr>
                <w:sz w:val="18"/>
                <w:szCs w:val="18"/>
                <w:lang w:val="en-GB"/>
              </w:rPr>
              <w:t xml:space="preserve">Response: </w:t>
            </w:r>
            <w:proofErr w:type="spellStart"/>
            <w:r>
              <w:rPr>
                <w:sz w:val="18"/>
                <w:szCs w:val="18"/>
                <w:lang w:val="en-GB"/>
              </w:rPr>
              <w:t>Conith</w:t>
            </w:r>
            <w:proofErr w:type="spellEnd"/>
            <w:r>
              <w:rPr>
                <w:sz w:val="18"/>
                <w:szCs w:val="18"/>
                <w:lang w:val="en-GB"/>
              </w:rPr>
              <w:t xml:space="preserve"> et al.</w:t>
            </w:r>
            <w:r w:rsidR="006F4BEC">
              <w:rPr>
                <w:sz w:val="18"/>
                <w:szCs w:val="18"/>
                <w:lang w:val="en-GB"/>
              </w:rPr>
              <w:t xml:space="preserve"> </w:t>
            </w:r>
            <w:r>
              <w:rPr>
                <w:lang w:val="en-GB"/>
              </w:rPr>
              <w:fldChar w:fldCharType="begin" w:fldLock="1"/>
            </w:r>
            <w:r w:rsidR="006F4BEC">
              <w:rPr>
                <w:sz w:val="18"/>
                <w:szCs w:val="18"/>
                <w:lang w:val="en-GB"/>
              </w:rPr>
              <w:instrText>ADDIN CSL_CITATION {"citationItems":[{"id":"ITEM-1","itemData":{"DOI":"10.1111/evo.13824","ISSN":"15585646","PMID":"31418824","abstract":"Understanding the origins of biodiversity demands consideration of both extrinsic (e.g., ecological opportunity) and intrinsic (e.g., developmental constraint) factors. Here, we use a combination of phylogenetic and genetic tools to address the origin of novelty in African cichlids. In particular, we focus on an extreme hypertrophied snout that is structurally integrated with the upper jaw. We show that this bizarre trait has evolved independently in at least two distinct and ecologically successful cichlid clades. We find that snout dimensions are decoupled both phenotypically and genetically, which has enabled it to evolve independently in multiple directions. Further, patterns of variation among species and within a genetic mapping pedigree suggest that relative to snout length, depth is under greater genetic and/or developmental constraint. Models of evolution suggest that snout shape is under selection for feeding behavior, with snout depth being important for algae scraping and snout length for sand sifting. Indeed, the deep snout of some algivores is achieved via an expansion of the intermaxillary ligament, which is important for jaw stability and may increase feeding performance. Overall, our data imply that the evolution of exaggerated snout depth required overcoming a genetic/developmental constraint, which led to expanded ecological opportunity via foraging adaptation.","author":[{"dropping-particle":"","family":"Conith","given":"Moira R.","non-dropping-particle":"","parse-names":false,"suffix":""},{"dropping-particle":"","family":"Conith","given":"Andrew J.","non-dropping-particle":"","parse-names":false,"suffix":""},{"dropping-particle":"","family":"Albertson","given":"R. Craig","non-dropping-particle":"","parse-names":false,"suffix":""}],"container-title":"Evolution","id":"ITEM-1","issue":"10","issued":{"date-parts":[["2019"]]},"page":"2072-2084","title":"Evolution of a soft-tissue foraging adaptation in African cichlids: Roles for novelty, convergence, and constraint","type":"article-journal","volume":"73"},"uris":["http://www.mendeley.com/documents/?uuid=7cbfc15a-e3b8-4d8a-bcf3-14bc82bca7d6"]}],"mendeley":{"formattedCitation":"(Conith et al., 2019)","manualFormatting":"(2019)","plainTextFormattedCitation":"(Conith et al., 2019)","previouslyFormattedCitation":"(Conith et al., 2019)"},"properties":{"noteIndex":0},"schema":"https://github.com/citation-style-language/schema/raw/master/csl-citation.json"}</w:instrText>
            </w:r>
            <w:r>
              <w:rPr>
                <w:sz w:val="18"/>
                <w:szCs w:val="18"/>
                <w:lang w:val="en-GB"/>
              </w:rPr>
              <w:fldChar w:fldCharType="separate"/>
            </w:r>
            <w:r w:rsidR="00BD4033" w:rsidRPr="00BD4033">
              <w:rPr>
                <w:noProof/>
                <w:sz w:val="18"/>
                <w:szCs w:val="18"/>
                <w:lang w:val="en-GB"/>
              </w:rPr>
              <w:t>(2019)</w:t>
            </w:r>
            <w:r>
              <w:rPr>
                <w:sz w:val="18"/>
                <w:szCs w:val="18"/>
                <w:lang w:val="en-GB"/>
              </w:rPr>
              <w:fldChar w:fldCharType="end"/>
            </w:r>
            <w:r>
              <w:rPr>
                <w:sz w:val="18"/>
                <w:szCs w:val="18"/>
                <w:lang w:val="en-GB"/>
              </w:rPr>
              <w:t xml:space="preserve"> conducted a comparative analysis of the evolutionary history of snout length and depth for cichlid fish. They corrected their response variables of snout length and depth using a theoretically expected variance covariance matrix of correlation among traits which controls for non-independence from shared evolutionary history and taking account of the body depth of each specimen. This produced a ‘corrected’ response variable that was independent of size and history, thus resolving uncertainty in what morphological or evolutionary processes this variable represents.</w:t>
            </w:r>
          </w:p>
          <w:p w14:paraId="2F3AD4D0" w14:textId="77777777" w:rsidR="00644FDF" w:rsidRDefault="00C732FA">
            <w:pPr>
              <w:widowControl w:val="0"/>
              <w:ind w:left="140" w:right="140"/>
              <w:rPr>
                <w:sz w:val="18"/>
                <w:szCs w:val="18"/>
                <w:lang w:val="en-GB"/>
              </w:rPr>
            </w:pPr>
            <w:r>
              <w:rPr>
                <w:sz w:val="18"/>
                <w:szCs w:val="18"/>
                <w:lang w:val="en-GB"/>
              </w:rPr>
              <w:t xml:space="preserve"> </w:t>
            </w:r>
          </w:p>
          <w:p w14:paraId="7F02FEAF" w14:textId="77777777" w:rsidR="00644FDF" w:rsidRDefault="00C732FA">
            <w:pPr>
              <w:widowControl w:val="0"/>
              <w:ind w:right="140"/>
              <w:rPr>
                <w:b/>
                <w:sz w:val="18"/>
                <w:szCs w:val="18"/>
                <w:lang w:val="en-GB"/>
              </w:rPr>
            </w:pPr>
            <w:r>
              <w:rPr>
                <w:b/>
                <w:sz w:val="18"/>
                <w:szCs w:val="18"/>
                <w:lang w:val="en-GB"/>
              </w:rPr>
              <w:t xml:space="preserve">example of correction for non-independence </w:t>
            </w:r>
          </w:p>
        </w:tc>
      </w:tr>
      <w:tr w:rsidR="00644FDF" w14:paraId="080B5BFD" w14:textId="77777777">
        <w:trPr>
          <w:trHeight w:val="3728"/>
        </w:trPr>
        <w:tc>
          <w:tcPr>
            <w:tcW w:w="1725" w:type="dxa"/>
            <w:tcBorders>
              <w:left w:val="single" w:sz="8" w:space="0" w:color="95B3D7"/>
              <w:bottom w:val="single" w:sz="8" w:space="0" w:color="95B3D7"/>
            </w:tcBorders>
            <w:shd w:val="clear" w:color="auto" w:fill="auto"/>
          </w:tcPr>
          <w:p w14:paraId="3AABD375" w14:textId="77777777" w:rsidR="00644FDF" w:rsidRDefault="00C732FA">
            <w:pPr>
              <w:widowControl w:val="0"/>
              <w:rPr>
                <w:sz w:val="24"/>
                <w:szCs w:val="24"/>
                <w:lang w:val="en-GB"/>
              </w:rPr>
            </w:pPr>
            <w:r>
              <w:rPr>
                <w:noProof/>
                <w:lang w:val="es-ES" w:eastAsia="es-ES"/>
              </w:rPr>
              <w:lastRenderedPageBreak/>
              <w:drawing>
                <wp:inline distT="0" distB="0" distL="0" distR="0" wp14:anchorId="767D6B13" wp14:editId="4481A5D2">
                  <wp:extent cx="685800" cy="685800"/>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a:picLocks noChangeAspect="1" noChangeArrowheads="1"/>
                          </pic:cNvPicPr>
                        </pic:nvPicPr>
                        <pic:blipFill>
                          <a:blip r:embed="rId14"/>
                          <a:stretch>
                            <a:fillRect/>
                          </a:stretch>
                        </pic:blipFill>
                        <pic:spPr bwMode="auto">
                          <a:xfrm>
                            <a:off x="0" y="0"/>
                            <a:ext cx="685800" cy="685800"/>
                          </a:xfrm>
                          <a:prstGeom prst="rect">
                            <a:avLst/>
                          </a:prstGeom>
                        </pic:spPr>
                      </pic:pic>
                    </a:graphicData>
                  </a:graphic>
                </wp:inline>
              </w:drawing>
            </w:r>
          </w:p>
        </w:tc>
        <w:tc>
          <w:tcPr>
            <w:tcW w:w="2070" w:type="dxa"/>
            <w:tcBorders>
              <w:left w:val="nil"/>
              <w:bottom w:val="single" w:sz="8" w:space="0" w:color="95B3D7"/>
            </w:tcBorders>
            <w:shd w:val="clear" w:color="auto" w:fill="auto"/>
          </w:tcPr>
          <w:p w14:paraId="6CDBF57C" w14:textId="77777777" w:rsidR="00644FDF" w:rsidRDefault="00C732FA">
            <w:pPr>
              <w:widowControl w:val="0"/>
              <w:rPr>
                <w:sz w:val="24"/>
                <w:szCs w:val="24"/>
                <w:lang w:val="en-GB"/>
              </w:rPr>
            </w:pPr>
            <w:r>
              <w:rPr>
                <w:noProof/>
                <w:lang w:val="es-ES" w:eastAsia="es-ES"/>
              </w:rPr>
              <w:drawing>
                <wp:inline distT="0" distB="0" distL="0" distR="0" wp14:anchorId="3CC3551D" wp14:editId="2CA4FBA0">
                  <wp:extent cx="1181100" cy="1257300"/>
                  <wp:effectExtent l="0" t="0" r="0" b="0"/>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png"/>
                          <pic:cNvPicPr>
                            <a:picLocks noChangeAspect="1" noChangeArrowheads="1"/>
                          </pic:cNvPicPr>
                        </pic:nvPicPr>
                        <pic:blipFill>
                          <a:blip r:embed="rId15"/>
                          <a:stretch>
                            <a:fillRect/>
                          </a:stretch>
                        </pic:blipFill>
                        <pic:spPr bwMode="auto">
                          <a:xfrm>
                            <a:off x="0" y="0"/>
                            <a:ext cx="1181100" cy="1257300"/>
                          </a:xfrm>
                          <a:prstGeom prst="rect">
                            <a:avLst/>
                          </a:prstGeom>
                        </pic:spPr>
                      </pic:pic>
                    </a:graphicData>
                  </a:graphic>
                </wp:inline>
              </w:drawing>
            </w:r>
          </w:p>
        </w:tc>
        <w:tc>
          <w:tcPr>
            <w:tcW w:w="1440" w:type="dxa"/>
            <w:tcBorders>
              <w:left w:val="nil"/>
              <w:bottom w:val="single" w:sz="8" w:space="0" w:color="95B3D7"/>
            </w:tcBorders>
            <w:shd w:val="clear" w:color="auto" w:fill="auto"/>
          </w:tcPr>
          <w:p w14:paraId="4D6588E9" w14:textId="77777777" w:rsidR="00644FDF" w:rsidRDefault="00C732FA">
            <w:pPr>
              <w:widowControl w:val="0"/>
              <w:jc w:val="center"/>
              <w:rPr>
                <w:lang w:val="en-GB"/>
              </w:rPr>
            </w:pPr>
            <w:proofErr w:type="spellStart"/>
            <w:r w:rsidRPr="001A5DAF">
              <w:rPr>
                <w:sz w:val="24"/>
                <w:szCs w:val="24"/>
                <w:lang w:val="fr-FR"/>
              </w:rPr>
              <w:t>Saderne</w:t>
            </w:r>
            <w:proofErr w:type="spellEnd"/>
            <w:r w:rsidRPr="001A5DAF">
              <w:rPr>
                <w:sz w:val="24"/>
                <w:szCs w:val="24"/>
                <w:lang w:val="fr-FR"/>
              </w:rPr>
              <w:t xml:space="preserve"> </w:t>
            </w:r>
            <w:r w:rsidRPr="001A5DAF">
              <w:rPr>
                <w:i/>
                <w:lang w:val="fr-FR"/>
              </w:rPr>
              <w:t>et al.</w:t>
            </w:r>
            <w:r w:rsidRPr="001A5DAF">
              <w:rPr>
                <w:lang w:val="fr-FR"/>
              </w:rPr>
              <w:t xml:space="preserve"> </w:t>
            </w:r>
            <w:proofErr w:type="spellStart"/>
            <w:proofErr w:type="gramStart"/>
            <w:r w:rsidRPr="001A5DAF">
              <w:rPr>
                <w:i/>
                <w:lang w:val="fr-FR"/>
              </w:rPr>
              <w:t>J.Geophys</w:t>
            </w:r>
            <w:proofErr w:type="spellEnd"/>
            <w:proofErr w:type="gramEnd"/>
            <w:r w:rsidRPr="001A5DAF">
              <w:rPr>
                <w:i/>
                <w:lang w:val="fr-FR"/>
              </w:rPr>
              <w:t xml:space="preserve">. </w:t>
            </w:r>
            <w:proofErr w:type="spellStart"/>
            <w:r w:rsidRPr="001A5DAF">
              <w:rPr>
                <w:i/>
                <w:lang w:val="fr-FR"/>
              </w:rPr>
              <w:t>Res</w:t>
            </w:r>
            <w:proofErr w:type="spellEnd"/>
            <w:r w:rsidRPr="001A5DAF">
              <w:rPr>
                <w:i/>
                <w:lang w:val="fr-FR"/>
              </w:rPr>
              <w:t xml:space="preserve">. </w:t>
            </w:r>
            <w:proofErr w:type="spellStart"/>
            <w:r w:rsidRPr="001A5DAF">
              <w:rPr>
                <w:i/>
                <w:lang w:val="fr-FR"/>
              </w:rPr>
              <w:t>Ocean</w:t>
            </w:r>
            <w:proofErr w:type="spellEnd"/>
            <w:r w:rsidRPr="001A5DAF">
              <w:rPr>
                <w:i/>
                <w:lang w:val="fr-FR"/>
              </w:rPr>
              <w:t>.</w:t>
            </w:r>
            <w:r w:rsidRPr="001A5DAF">
              <w:rPr>
                <w:lang w:val="fr-FR"/>
              </w:rPr>
              <w:t xml:space="preserve"> </w:t>
            </w:r>
            <w:r>
              <w:rPr>
                <w:lang w:val="en-GB"/>
              </w:rPr>
              <w:t>124, 7513–7528 (2019)</w:t>
            </w:r>
          </w:p>
          <w:p w14:paraId="4B423E04" w14:textId="77777777" w:rsidR="00644FDF" w:rsidRDefault="00C732FA">
            <w:pPr>
              <w:widowControl w:val="0"/>
              <w:jc w:val="center"/>
              <w:rPr>
                <w:b/>
                <w:i/>
                <w:sz w:val="20"/>
                <w:szCs w:val="20"/>
                <w:lang w:val="en-GB"/>
              </w:rPr>
            </w:pPr>
            <w:r>
              <w:rPr>
                <w:b/>
                <w:i/>
                <w:sz w:val="20"/>
                <w:szCs w:val="20"/>
                <w:lang w:val="en-GB"/>
              </w:rPr>
              <w:t xml:space="preserve"> </w:t>
            </w:r>
          </w:p>
        </w:tc>
        <w:tc>
          <w:tcPr>
            <w:tcW w:w="5387" w:type="dxa"/>
            <w:tcBorders>
              <w:left w:val="nil"/>
              <w:bottom w:val="single" w:sz="8" w:space="0" w:color="95B3D7"/>
              <w:right w:val="single" w:sz="8" w:space="0" w:color="95B3D7"/>
            </w:tcBorders>
            <w:shd w:val="clear" w:color="auto" w:fill="auto"/>
          </w:tcPr>
          <w:p w14:paraId="47520475" w14:textId="0347C907" w:rsidR="00644FDF" w:rsidRDefault="00C732FA">
            <w:pPr>
              <w:widowControl w:val="0"/>
              <w:ind w:right="140"/>
              <w:rPr>
                <w:sz w:val="18"/>
                <w:szCs w:val="18"/>
                <w:lang w:val="en-GB"/>
              </w:rPr>
            </w:pPr>
            <w:r>
              <w:rPr>
                <w:sz w:val="18"/>
                <w:szCs w:val="18"/>
                <w:lang w:val="en-GB"/>
              </w:rPr>
              <w:t xml:space="preserve">Explanatory: </w:t>
            </w:r>
            <w:proofErr w:type="spellStart"/>
            <w:r>
              <w:rPr>
                <w:sz w:val="18"/>
                <w:szCs w:val="18"/>
                <w:lang w:val="en-GB"/>
              </w:rPr>
              <w:t>Saderne</w:t>
            </w:r>
            <w:proofErr w:type="spellEnd"/>
            <w:r>
              <w:rPr>
                <w:sz w:val="18"/>
                <w:szCs w:val="18"/>
                <w:lang w:val="en-GB"/>
              </w:rPr>
              <w:t xml:space="preserve"> et al.</w:t>
            </w:r>
            <w:r w:rsidR="006F4BEC">
              <w:rPr>
                <w:sz w:val="18"/>
                <w:szCs w:val="18"/>
                <w:lang w:val="en-GB"/>
              </w:rPr>
              <w:t xml:space="preserve"> </w:t>
            </w:r>
            <w:r>
              <w:rPr>
                <w:lang w:val="en-GB"/>
              </w:rPr>
              <w:fldChar w:fldCharType="begin" w:fldLock="1"/>
            </w:r>
            <w:r w:rsidR="009C289F">
              <w:rPr>
                <w:sz w:val="18"/>
                <w:szCs w:val="18"/>
                <w:lang w:val="en-GB"/>
              </w:rPr>
              <w:instrText>ADDIN CSL_CITATION {"citationItems":[{"id":"ITEM-1","itemData":{"DOI":"10.1029/2019JC015266","ISSN":"21699291","abstract":"The Red Sea is characterized by its high seawater temperature and salinity, and the resilience of its coastal ecosystems to global warming is of growing interest. This high salinity and temperature might also render the Red Sea a favorable ecosystem for calcification and therefore resistant to ocean acidification. However, there is a lack of survey data on the CO2 system of Red Sea coastal ecosystems. A 1-year survey of the CO2 system was performed in a seagrass lagoon, a mangrove forest, and a coral reef in the central Red Sea, including fortnight seawater sampling and high-frequency pHT monitoring. In the coral reef, the CO2 system mean and variability over the measurement period are within the range of other world's reefs with pHT, dissolved inorganic carbon (DIC), total alkalinity (TA), pCO2, and Ωarag of 8.016±0.077, 2061±58 μmol/kg, 2415±34 μmol/kg, 461±39 μatm, and 3.9±0.4, respectively. Here, comparisons with an offshore site highlight dominance of calcification and photosynthesis in summer-autumn, and dissolution and heterotrophy in winter-spring. In the seagrass meadow, the pHT, DIC, TA, pCO2, and Ωarag were 8.00±0.09, 1986±68 μmol/kg, 2352±49 μmol/kg, 411±66 μatm, and 4.0±0.3, respectively. The seagrass meadow TA and DIC were consistently lower than offshore water. The mangrove forest showed the highest amplitudes of variation, with pHT, DIC, TA, pCO2, and Ωarag, were 7.95±0.26, 2069±132 μmol/kg, 2438±91 μmol/kg, 493±178 μatm, and 4.1±0.6, respectively. We highlight the need for more research on sources and sinks of DIC and TA in coastal ecosystems.","author":[{"dropping-particle":"","family":"Saderne","given":"Vincent","non-dropping-particle":"","parse-names":false,"suffix":""},{"dropping-particle":"","family":"Baldry","given":"Kimberlee","non-dropping-particle":"","parse-names":false,"suffix":""},{"dropping-particle":"","family":"Anton","given":"Andrea","non-dropping-particle":"","parse-names":false,"suffix":""},{"dropping-particle":"","family":"Agustí","given":"Susana","non-dropping-particle":"","parse-names":false,"suffix":""},{"dropping-particle":"","family":"Duarte","given":"Carlos M.","non-dropping-particle":"","parse-names":false,"suffix":""}],"container-title":"Journal of Geophysical Research: Oceans","id":"ITEM-1","issue":"11","issued":{"date-parts":[["2019"]]},"page":"7513-7528","title":"Characterization of the CO2 System in a Coral Reef, a Seagrass Meadow, and a Mangrove Forest in the Central Red Sea","type":"article-journal","volume":"124"},"uris":["http://www.mendeley.com/documents/?uuid=9803ae8a-bc7a-4279-b05f-16b4699671b6"]}],"mendeley":{"formattedCitation":"(Saderne et al., 2019)","manualFormatting":"(2019)","plainTextFormattedCitation":"(Saderne et al., 2019)","previouslyFormattedCitation":"(Saderne et al., 2019)"},"properties":{"noteIndex":0},"schema":"https://github.com/citation-style-language/schema/raw/master/csl-citation.json"}</w:instrText>
            </w:r>
            <w:r>
              <w:rPr>
                <w:sz w:val="18"/>
                <w:szCs w:val="18"/>
                <w:lang w:val="en-GB"/>
              </w:rPr>
              <w:fldChar w:fldCharType="separate"/>
            </w:r>
            <w:r w:rsidR="00BD4033" w:rsidRPr="00BD4033">
              <w:rPr>
                <w:noProof/>
                <w:sz w:val="18"/>
                <w:szCs w:val="18"/>
                <w:lang w:val="en-GB"/>
              </w:rPr>
              <w:t>(2019)</w:t>
            </w:r>
            <w:r>
              <w:rPr>
                <w:sz w:val="18"/>
                <w:szCs w:val="18"/>
                <w:lang w:val="en-GB"/>
              </w:rPr>
              <w:fldChar w:fldCharType="end"/>
            </w:r>
            <w:r>
              <w:rPr>
                <w:sz w:val="18"/>
                <w:szCs w:val="18"/>
                <w:lang w:val="en-GB"/>
              </w:rPr>
              <w:t xml:space="preserve"> used a mechanistic model to explore differences in the CO</w:t>
            </w:r>
            <w:r>
              <w:rPr>
                <w:sz w:val="18"/>
                <w:szCs w:val="18"/>
                <w:vertAlign w:val="subscript"/>
                <w:lang w:val="en-GB"/>
              </w:rPr>
              <w:t>2</w:t>
            </w:r>
            <w:r>
              <w:rPr>
                <w:sz w:val="18"/>
                <w:szCs w:val="18"/>
                <w:lang w:val="en-GB"/>
              </w:rPr>
              <w:t xml:space="preserve"> system across three ecosystems (coral reefs, mangroves, and seagrass meadows). One explanatory variable was pH on the total scale. This variable was corrected using extra data collected using a different method and the corrected variable used in further analyses. Other input data elements (which were used as parameters in the final model) had their errors propagated using the R package </w:t>
            </w:r>
            <w:proofErr w:type="spellStart"/>
            <w:r>
              <w:rPr>
                <w:i/>
                <w:sz w:val="18"/>
                <w:szCs w:val="18"/>
                <w:lang w:val="en-GB"/>
              </w:rPr>
              <w:t>Seacarb</w:t>
            </w:r>
            <w:proofErr w:type="spellEnd"/>
            <w:r w:rsidR="003E5F2F">
              <w:rPr>
                <w:i/>
                <w:sz w:val="18"/>
                <w:szCs w:val="18"/>
                <w:lang w:val="en-GB"/>
              </w:rPr>
              <w:t xml:space="preserve"> </w:t>
            </w:r>
            <w:r>
              <w:rPr>
                <w:lang w:val="en-GB"/>
              </w:rPr>
              <w:fldChar w:fldCharType="begin" w:fldLock="1"/>
            </w:r>
            <w:r>
              <w:rPr>
                <w:i/>
                <w:sz w:val="18"/>
                <w:szCs w:val="18"/>
                <w:lang w:val="en-GB"/>
              </w:rPr>
              <w:instrText>ADDIN CSL_CITATION {"citationItems":[{"id":"ITEM-1","itemData":{"author":[{"dropping-particle":"","family":"Gattuso","given":"J-P","non-dropping-particle":"","parse-names":false,"suffix":""},{"dropping-particle":"","family":"Epitalon","given":"J-M","non-dropping-particle":"","parse-names":false,"suffix":""},{"dropping-particle":"","family":"Lavigne","given":"H","non-dropping-particle":"","parse-names":false,"suffix":""}],"id":"ITEM-1","issued":{"date-parts":[["2019"]]},"title":"seacard: Seawater Carbonate Chemistry. R package version 3.2.12","type":"article"},"uris":["http://www.mendeley.com/documents/?uuid=ea3b08ba-1866-4cb9-a4c8-c4da5e880c0b"]}],"mendeley":{"formattedCitation":"(Gattuso et al., 2019)","plainTextFormattedCitation":"(Gattuso et al., 2019)","previouslyFormattedCitation":"(Gattuso et al., 2019)"},"properties":{"noteIndex":0},"schema":"https://github.com/citation-style-language/schema/raw/master/csl-citation.json"}</w:instrText>
            </w:r>
            <w:r>
              <w:rPr>
                <w:i/>
                <w:sz w:val="18"/>
                <w:szCs w:val="18"/>
                <w:lang w:val="en-GB"/>
              </w:rPr>
              <w:fldChar w:fldCharType="separate"/>
            </w:r>
            <w:r>
              <w:rPr>
                <w:noProof/>
                <w:sz w:val="18"/>
                <w:szCs w:val="18"/>
                <w:lang w:val="en-GB"/>
              </w:rPr>
              <w:t>(Gattuso et al., 2019)</w:t>
            </w:r>
            <w:r>
              <w:rPr>
                <w:i/>
                <w:sz w:val="18"/>
                <w:szCs w:val="18"/>
                <w:lang w:val="en-GB"/>
              </w:rPr>
              <w:fldChar w:fldCharType="end"/>
            </w:r>
            <w:r>
              <w:rPr>
                <w:i/>
                <w:sz w:val="18"/>
                <w:szCs w:val="18"/>
                <w:lang w:val="en-GB"/>
              </w:rPr>
              <w:t>.</w:t>
            </w:r>
            <w:r>
              <w:rPr>
                <w:sz w:val="18"/>
                <w:szCs w:val="18"/>
                <w:lang w:val="en-GB"/>
              </w:rPr>
              <w:t xml:space="preserve"> This allowed for instrument error to be accounted for throughout the analysis. These techniques for considering and accounting for error in explanatory variables can and</w:t>
            </w:r>
          </w:p>
          <w:p w14:paraId="3081D0A6" w14:textId="77777777" w:rsidR="00644FDF" w:rsidRDefault="00C732FA">
            <w:pPr>
              <w:widowControl w:val="0"/>
              <w:ind w:right="140"/>
              <w:rPr>
                <w:sz w:val="18"/>
                <w:szCs w:val="18"/>
                <w:lang w:val="en-GB"/>
              </w:rPr>
            </w:pPr>
            <w:r>
              <w:rPr>
                <w:sz w:val="18"/>
                <w:szCs w:val="18"/>
                <w:lang w:val="en-GB"/>
              </w:rPr>
              <w:t>should be applied across statistical models as well.</w:t>
            </w:r>
          </w:p>
          <w:p w14:paraId="7F2E4977" w14:textId="77777777" w:rsidR="00644FDF" w:rsidRDefault="00C732FA">
            <w:pPr>
              <w:widowControl w:val="0"/>
              <w:ind w:right="140"/>
              <w:rPr>
                <w:b/>
                <w:sz w:val="18"/>
                <w:szCs w:val="18"/>
                <w:lang w:val="en-GB"/>
              </w:rPr>
            </w:pPr>
            <w:r>
              <w:rPr>
                <w:b/>
                <w:sz w:val="18"/>
                <w:szCs w:val="18"/>
                <w:lang w:val="en-GB"/>
              </w:rPr>
              <w:t xml:space="preserve"> </w:t>
            </w:r>
          </w:p>
          <w:p w14:paraId="2DC56047" w14:textId="77777777" w:rsidR="00644FDF" w:rsidRDefault="00C732FA">
            <w:pPr>
              <w:widowControl w:val="0"/>
              <w:ind w:right="140"/>
              <w:rPr>
                <w:b/>
                <w:sz w:val="18"/>
                <w:szCs w:val="18"/>
                <w:lang w:val="en-GB"/>
              </w:rPr>
            </w:pPr>
            <w:r>
              <w:rPr>
                <w:b/>
                <w:sz w:val="18"/>
                <w:szCs w:val="18"/>
                <w:lang w:val="en-GB"/>
              </w:rPr>
              <w:t>example of correction for measurement/ observation error</w:t>
            </w:r>
          </w:p>
        </w:tc>
      </w:tr>
      <w:tr w:rsidR="00644FDF" w14:paraId="546AFD63" w14:textId="77777777">
        <w:trPr>
          <w:trHeight w:val="2628"/>
        </w:trPr>
        <w:tc>
          <w:tcPr>
            <w:tcW w:w="1725" w:type="dxa"/>
            <w:tcBorders>
              <w:left w:val="single" w:sz="8" w:space="0" w:color="95B3D7"/>
              <w:bottom w:val="single" w:sz="8" w:space="0" w:color="95B3D7"/>
            </w:tcBorders>
            <w:shd w:val="clear" w:color="auto" w:fill="DBE5F1"/>
          </w:tcPr>
          <w:p w14:paraId="36D4A45F" w14:textId="77777777" w:rsidR="00644FDF" w:rsidRDefault="00C732FA">
            <w:pPr>
              <w:widowControl w:val="0"/>
              <w:rPr>
                <w:sz w:val="24"/>
                <w:szCs w:val="24"/>
                <w:lang w:val="en-GB"/>
              </w:rPr>
            </w:pPr>
            <w:r>
              <w:rPr>
                <w:noProof/>
                <w:lang w:val="es-ES" w:eastAsia="es-ES"/>
              </w:rPr>
              <w:drawing>
                <wp:inline distT="0" distB="0" distL="0" distR="0" wp14:anchorId="5055E48B" wp14:editId="0A2D83EA">
                  <wp:extent cx="685800" cy="685800"/>
                  <wp:effectExtent l="0" t="0" r="0" b="0"/>
                  <wp:docPr id="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a:picLocks noChangeAspect="1" noChangeArrowheads="1"/>
                          </pic:cNvPicPr>
                        </pic:nvPicPr>
                        <pic:blipFill>
                          <a:blip r:embed="rId16"/>
                          <a:stretch>
                            <a:fillRect/>
                          </a:stretch>
                        </pic:blipFill>
                        <pic:spPr bwMode="auto">
                          <a:xfrm>
                            <a:off x="0" y="0"/>
                            <a:ext cx="685800" cy="685800"/>
                          </a:xfrm>
                          <a:prstGeom prst="rect">
                            <a:avLst/>
                          </a:prstGeom>
                        </pic:spPr>
                      </pic:pic>
                    </a:graphicData>
                  </a:graphic>
                </wp:inline>
              </w:drawing>
            </w:r>
          </w:p>
        </w:tc>
        <w:tc>
          <w:tcPr>
            <w:tcW w:w="2070" w:type="dxa"/>
            <w:tcBorders>
              <w:left w:val="nil"/>
              <w:bottom w:val="single" w:sz="8" w:space="0" w:color="95B3D7"/>
            </w:tcBorders>
            <w:shd w:val="clear" w:color="auto" w:fill="DBE5F1"/>
          </w:tcPr>
          <w:p w14:paraId="16B2917A" w14:textId="77777777" w:rsidR="00644FDF" w:rsidRDefault="00C732FA">
            <w:pPr>
              <w:widowControl w:val="0"/>
              <w:rPr>
                <w:sz w:val="24"/>
                <w:szCs w:val="24"/>
                <w:lang w:val="en-GB"/>
              </w:rPr>
            </w:pPr>
            <w:r>
              <w:rPr>
                <w:noProof/>
                <w:lang w:val="es-ES" w:eastAsia="es-ES"/>
              </w:rPr>
              <w:drawing>
                <wp:inline distT="0" distB="0" distL="0" distR="0" wp14:anchorId="0F2A4C34" wp14:editId="64BA1019">
                  <wp:extent cx="1028700" cy="962025"/>
                  <wp:effectExtent l="0" t="0" r="0" b="0"/>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png"/>
                          <pic:cNvPicPr>
                            <a:picLocks noChangeAspect="1" noChangeArrowheads="1"/>
                          </pic:cNvPicPr>
                        </pic:nvPicPr>
                        <pic:blipFill>
                          <a:blip r:embed="rId17"/>
                          <a:stretch>
                            <a:fillRect/>
                          </a:stretch>
                        </pic:blipFill>
                        <pic:spPr bwMode="auto">
                          <a:xfrm>
                            <a:off x="0" y="0"/>
                            <a:ext cx="1028700" cy="962025"/>
                          </a:xfrm>
                          <a:prstGeom prst="rect">
                            <a:avLst/>
                          </a:prstGeom>
                        </pic:spPr>
                      </pic:pic>
                    </a:graphicData>
                  </a:graphic>
                </wp:inline>
              </w:drawing>
            </w:r>
          </w:p>
        </w:tc>
        <w:tc>
          <w:tcPr>
            <w:tcW w:w="1440" w:type="dxa"/>
            <w:tcBorders>
              <w:left w:val="nil"/>
              <w:bottom w:val="single" w:sz="8" w:space="0" w:color="95B3D7"/>
            </w:tcBorders>
            <w:shd w:val="clear" w:color="auto" w:fill="DBE5F1"/>
          </w:tcPr>
          <w:p w14:paraId="5B83BB4D" w14:textId="77777777" w:rsidR="00644FDF" w:rsidRDefault="00C732FA">
            <w:pPr>
              <w:widowControl w:val="0"/>
              <w:jc w:val="center"/>
              <w:rPr>
                <w:lang w:val="en-GB"/>
              </w:rPr>
            </w:pPr>
            <w:r>
              <w:rPr>
                <w:sz w:val="24"/>
                <w:szCs w:val="24"/>
                <w:lang w:val="en-GB"/>
              </w:rPr>
              <w:t xml:space="preserve">O’Grady. </w:t>
            </w:r>
            <w:r>
              <w:rPr>
                <w:i/>
                <w:lang w:val="en-GB"/>
              </w:rPr>
              <w:t>Br. J. Polit. Sci.</w:t>
            </w:r>
            <w:r>
              <w:rPr>
                <w:lang w:val="en-GB"/>
              </w:rPr>
              <w:t xml:space="preserve"> 49, 1381–1406 (2019)</w:t>
            </w:r>
          </w:p>
        </w:tc>
        <w:tc>
          <w:tcPr>
            <w:tcW w:w="5387" w:type="dxa"/>
            <w:tcBorders>
              <w:left w:val="nil"/>
              <w:bottom w:val="single" w:sz="8" w:space="0" w:color="95B3D7"/>
              <w:right w:val="single" w:sz="8" w:space="0" w:color="95B3D7"/>
            </w:tcBorders>
            <w:shd w:val="clear" w:color="auto" w:fill="DBE5F1"/>
          </w:tcPr>
          <w:p w14:paraId="67B56BD6" w14:textId="409D2913" w:rsidR="00644FDF" w:rsidRDefault="00C732FA">
            <w:pPr>
              <w:widowControl w:val="0"/>
              <w:ind w:right="140"/>
              <w:rPr>
                <w:sz w:val="18"/>
                <w:szCs w:val="18"/>
                <w:lang w:val="en-GB"/>
              </w:rPr>
            </w:pPr>
            <w:r>
              <w:rPr>
                <w:sz w:val="18"/>
                <w:szCs w:val="18"/>
                <w:lang w:val="en-GB"/>
              </w:rPr>
              <w:t>Parameters: O’Grady</w:t>
            </w:r>
            <w:r w:rsidR="006F4BEC">
              <w:rPr>
                <w:sz w:val="18"/>
                <w:szCs w:val="18"/>
                <w:lang w:val="en-GB"/>
              </w:rPr>
              <w:t xml:space="preserve"> </w:t>
            </w:r>
            <w:r>
              <w:rPr>
                <w:lang w:val="en-GB"/>
              </w:rPr>
              <w:fldChar w:fldCharType="begin" w:fldLock="1"/>
            </w:r>
            <w:r w:rsidR="006F4BEC">
              <w:rPr>
                <w:sz w:val="18"/>
                <w:szCs w:val="18"/>
                <w:lang w:val="en-GB"/>
              </w:rPr>
              <w:instrText>ADDIN CSL_CITATION {"citationItems":[{"id":"ITEM-1","itemData":{"DOI":"10.1017/S0007123417000242","ISSN":"14692112","abstract":"Preferences for redistribution and social spending are correlated with income and unemployment risk, but it is unclear how these relationships come about. I build a theory emphasizing that only large changes in economic circumstances provide the information and motivation needed for people to change their preferences. Stable long-run preferences are shaped mainly by early socialization, which includes economic and ideological influences from the family, and early labor market experiences. Enduring shocks, low intergenerational mobility and the tendency of left-wing parents to be poorer generate correlations between circumstances and preferences. Because preferences are stable, greater inequality may not increase aggregate support for redistribution. Support is found for the theory with panel data from Switzerland, using a range of empirical tests.","author":[{"dropping-particle":"","family":"O'Grady","given":"Tom","non-dropping-particle":"","parse-names":false,"suffix":""}],"container-title":"British Journal of Political Science","id":"ITEM-1","issue":"4","issued":{"date-parts":[["2019"]]},"page":"1381-1406","title":"How do Economic Circumstances Determine Preferences? Evidence from Long-run Panel Data","type":"article-journal","volume":"49"},"uris":["http://www.mendeley.com/documents/?uuid=e3607b67-a15c-4fb0-baa1-06f64e9d41d4"]}],"mendeley":{"formattedCitation":"(O’Grady, 2019)","manualFormatting":"(2019)","plainTextFormattedCitation":"(O’Grady, 2019)","previouslyFormattedCitation":"(O’Grady, 2019)"},"properties":{"noteIndex":0},"schema":"https://github.com/citation-style-language/schema/raw/master/csl-citation.json"}</w:instrText>
            </w:r>
            <w:r>
              <w:rPr>
                <w:sz w:val="18"/>
                <w:szCs w:val="18"/>
                <w:lang w:val="en-GB"/>
              </w:rPr>
              <w:fldChar w:fldCharType="separate"/>
            </w:r>
            <w:r w:rsidR="006F4BEC">
              <w:rPr>
                <w:noProof/>
                <w:sz w:val="18"/>
                <w:szCs w:val="18"/>
                <w:lang w:val="en-GB"/>
              </w:rPr>
              <w:t>(</w:t>
            </w:r>
            <w:r w:rsidR="00BD4033" w:rsidRPr="00BD4033">
              <w:rPr>
                <w:noProof/>
                <w:sz w:val="18"/>
                <w:szCs w:val="18"/>
                <w:lang w:val="en-GB"/>
              </w:rPr>
              <w:t>2019)</w:t>
            </w:r>
            <w:r>
              <w:rPr>
                <w:sz w:val="18"/>
                <w:szCs w:val="18"/>
                <w:lang w:val="en-GB"/>
              </w:rPr>
              <w:fldChar w:fldCharType="end"/>
            </w:r>
            <w:r>
              <w:rPr>
                <w:sz w:val="18"/>
                <w:szCs w:val="18"/>
                <w:vertAlign w:val="superscript"/>
                <w:lang w:val="en-GB"/>
              </w:rPr>
              <w:t xml:space="preserve"> </w:t>
            </w:r>
            <w:r>
              <w:rPr>
                <w:sz w:val="18"/>
                <w:szCs w:val="18"/>
                <w:lang w:val="en-GB"/>
              </w:rPr>
              <w:t>modelled preferences for increases in federal social spending with explanatory variables of household income and subjective assessment of unemployment risk. The model used was a multivariate regression. Uncertainty in the parameter estimates from this regression were calculated using standard errors and presented as clustered standard errors numerically in their Table 1 and then as 95% confidence intervals around the coefficient estimate visually in their Figure 5.</w:t>
            </w:r>
          </w:p>
          <w:p w14:paraId="35F6DC0A" w14:textId="77777777" w:rsidR="00644FDF" w:rsidRDefault="00C732FA">
            <w:pPr>
              <w:widowControl w:val="0"/>
              <w:ind w:right="140"/>
              <w:rPr>
                <w:sz w:val="18"/>
                <w:szCs w:val="18"/>
                <w:lang w:val="en-GB"/>
              </w:rPr>
            </w:pPr>
            <w:r>
              <w:rPr>
                <w:sz w:val="18"/>
                <w:szCs w:val="18"/>
                <w:lang w:val="en-GB"/>
              </w:rPr>
              <w:t xml:space="preserve"> </w:t>
            </w:r>
          </w:p>
          <w:p w14:paraId="5A6449AB" w14:textId="77777777" w:rsidR="00644FDF" w:rsidRDefault="00C732FA">
            <w:pPr>
              <w:widowControl w:val="0"/>
              <w:ind w:right="140"/>
              <w:rPr>
                <w:b/>
                <w:sz w:val="18"/>
                <w:szCs w:val="18"/>
                <w:lang w:val="en-GB"/>
              </w:rPr>
            </w:pPr>
            <w:r>
              <w:rPr>
                <w:b/>
                <w:sz w:val="18"/>
                <w:szCs w:val="18"/>
                <w:lang w:val="en-GB"/>
              </w:rPr>
              <w:t>example of error estimates using standard errors</w:t>
            </w:r>
          </w:p>
        </w:tc>
      </w:tr>
      <w:tr w:rsidR="00644FDF" w14:paraId="60AB85DA" w14:textId="77777777">
        <w:trPr>
          <w:trHeight w:val="2923"/>
        </w:trPr>
        <w:tc>
          <w:tcPr>
            <w:tcW w:w="1725" w:type="dxa"/>
            <w:tcBorders>
              <w:left w:val="single" w:sz="8" w:space="0" w:color="95B3D7"/>
              <w:bottom w:val="single" w:sz="8" w:space="0" w:color="95B3D7"/>
            </w:tcBorders>
            <w:shd w:val="clear" w:color="auto" w:fill="auto"/>
          </w:tcPr>
          <w:p w14:paraId="278797C2" w14:textId="77777777" w:rsidR="00644FDF" w:rsidRDefault="00C732FA">
            <w:pPr>
              <w:widowControl w:val="0"/>
              <w:rPr>
                <w:sz w:val="24"/>
                <w:szCs w:val="24"/>
                <w:lang w:val="en-GB"/>
              </w:rPr>
            </w:pPr>
            <w:r>
              <w:rPr>
                <w:noProof/>
                <w:lang w:val="es-ES" w:eastAsia="es-ES"/>
              </w:rPr>
              <w:drawing>
                <wp:inline distT="0" distB="0" distL="0" distR="0" wp14:anchorId="51088B8A" wp14:editId="4FDDFBA8">
                  <wp:extent cx="647700" cy="409575"/>
                  <wp:effectExtent l="0" t="0" r="0" b="0"/>
                  <wp:docPr id="1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a:picLocks noChangeAspect="1" noChangeArrowheads="1"/>
                          </pic:cNvPicPr>
                        </pic:nvPicPr>
                        <pic:blipFill>
                          <a:blip r:embed="rId18"/>
                          <a:stretch>
                            <a:fillRect/>
                          </a:stretch>
                        </pic:blipFill>
                        <pic:spPr bwMode="auto">
                          <a:xfrm>
                            <a:off x="0" y="0"/>
                            <a:ext cx="647700" cy="409575"/>
                          </a:xfrm>
                          <a:prstGeom prst="rect">
                            <a:avLst/>
                          </a:prstGeom>
                        </pic:spPr>
                      </pic:pic>
                    </a:graphicData>
                  </a:graphic>
                </wp:inline>
              </w:drawing>
            </w:r>
          </w:p>
        </w:tc>
        <w:tc>
          <w:tcPr>
            <w:tcW w:w="2070" w:type="dxa"/>
            <w:tcBorders>
              <w:left w:val="nil"/>
              <w:bottom w:val="single" w:sz="8" w:space="0" w:color="95B3D7"/>
            </w:tcBorders>
            <w:shd w:val="clear" w:color="auto" w:fill="auto"/>
          </w:tcPr>
          <w:p w14:paraId="17D5AA52" w14:textId="77777777" w:rsidR="00644FDF" w:rsidRDefault="00C732FA">
            <w:pPr>
              <w:widowControl w:val="0"/>
              <w:rPr>
                <w:sz w:val="24"/>
                <w:szCs w:val="24"/>
                <w:lang w:val="en-GB"/>
              </w:rPr>
            </w:pPr>
            <w:r>
              <w:rPr>
                <w:noProof/>
                <w:lang w:val="es-ES" w:eastAsia="es-ES"/>
              </w:rPr>
              <w:drawing>
                <wp:inline distT="0" distB="0" distL="0" distR="0" wp14:anchorId="120C43A9" wp14:editId="7B8C65E2">
                  <wp:extent cx="1085850" cy="990600"/>
                  <wp:effectExtent l="0" t="0" r="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png"/>
                          <pic:cNvPicPr>
                            <a:picLocks noChangeAspect="1" noChangeArrowheads="1"/>
                          </pic:cNvPicPr>
                        </pic:nvPicPr>
                        <pic:blipFill>
                          <a:blip r:embed="rId19"/>
                          <a:stretch>
                            <a:fillRect/>
                          </a:stretch>
                        </pic:blipFill>
                        <pic:spPr bwMode="auto">
                          <a:xfrm>
                            <a:off x="0" y="0"/>
                            <a:ext cx="1085850" cy="990600"/>
                          </a:xfrm>
                          <a:prstGeom prst="rect">
                            <a:avLst/>
                          </a:prstGeom>
                        </pic:spPr>
                      </pic:pic>
                    </a:graphicData>
                  </a:graphic>
                </wp:inline>
              </w:drawing>
            </w:r>
          </w:p>
        </w:tc>
        <w:tc>
          <w:tcPr>
            <w:tcW w:w="1440" w:type="dxa"/>
            <w:tcBorders>
              <w:left w:val="nil"/>
              <w:bottom w:val="single" w:sz="8" w:space="0" w:color="95B3D7"/>
            </w:tcBorders>
            <w:shd w:val="clear" w:color="auto" w:fill="auto"/>
          </w:tcPr>
          <w:p w14:paraId="7AF3D225" w14:textId="77777777" w:rsidR="00644FDF" w:rsidRPr="001A5DAF" w:rsidRDefault="00C732FA">
            <w:pPr>
              <w:widowControl w:val="0"/>
              <w:jc w:val="center"/>
              <w:rPr>
                <w:lang w:val="fr-FR"/>
              </w:rPr>
            </w:pPr>
            <w:r w:rsidRPr="001A5DAF">
              <w:rPr>
                <w:sz w:val="24"/>
                <w:szCs w:val="24"/>
                <w:lang w:val="fr-FR"/>
              </w:rPr>
              <w:t xml:space="preserve">Fan </w:t>
            </w:r>
            <w:r w:rsidRPr="001A5DAF">
              <w:rPr>
                <w:i/>
                <w:lang w:val="fr-FR"/>
              </w:rPr>
              <w:t>et al.</w:t>
            </w:r>
            <w:r w:rsidRPr="001A5DAF">
              <w:rPr>
                <w:lang w:val="fr-FR"/>
              </w:rPr>
              <w:t xml:space="preserve"> </w:t>
            </w:r>
            <w:r w:rsidRPr="001A5DAF">
              <w:rPr>
                <w:i/>
                <w:lang w:val="fr-FR"/>
              </w:rPr>
              <w:t>Clim. Dyn.</w:t>
            </w:r>
            <w:r w:rsidRPr="001A5DAF">
              <w:rPr>
                <w:lang w:val="fr-FR"/>
              </w:rPr>
              <w:t xml:space="preserve"> 53, 6919–6932 (2019)</w:t>
            </w:r>
          </w:p>
        </w:tc>
        <w:tc>
          <w:tcPr>
            <w:tcW w:w="5387" w:type="dxa"/>
            <w:tcBorders>
              <w:left w:val="nil"/>
              <w:bottom w:val="single" w:sz="8" w:space="0" w:color="95B3D7"/>
              <w:right w:val="single" w:sz="8" w:space="0" w:color="95B3D7"/>
            </w:tcBorders>
            <w:shd w:val="clear" w:color="auto" w:fill="auto"/>
          </w:tcPr>
          <w:p w14:paraId="76D1C4C8" w14:textId="3D939389" w:rsidR="00644FDF" w:rsidRDefault="00C732FA">
            <w:pPr>
              <w:widowControl w:val="0"/>
              <w:ind w:right="140"/>
              <w:rPr>
                <w:sz w:val="18"/>
                <w:szCs w:val="18"/>
                <w:lang w:val="en-GB"/>
              </w:rPr>
            </w:pPr>
            <w:r w:rsidRPr="001A5DAF">
              <w:rPr>
                <w:sz w:val="18"/>
                <w:szCs w:val="18"/>
                <w:lang w:val="fr-FR"/>
              </w:rPr>
              <w:t xml:space="preserve">Model </w:t>
            </w:r>
            <w:proofErr w:type="gramStart"/>
            <w:r w:rsidRPr="001A5DAF">
              <w:rPr>
                <w:sz w:val="18"/>
                <w:szCs w:val="18"/>
                <w:lang w:val="fr-FR"/>
              </w:rPr>
              <w:t>structure:</w:t>
            </w:r>
            <w:proofErr w:type="gramEnd"/>
            <w:r w:rsidRPr="001A5DAF">
              <w:rPr>
                <w:sz w:val="18"/>
                <w:szCs w:val="18"/>
                <w:lang w:val="fr-FR"/>
              </w:rPr>
              <w:t xml:space="preserve"> Fan et al.</w:t>
            </w:r>
            <w:r w:rsidR="006F4BEC">
              <w:rPr>
                <w:sz w:val="18"/>
                <w:szCs w:val="18"/>
                <w:lang w:val="fr-FR"/>
              </w:rPr>
              <w:t xml:space="preserve"> </w:t>
            </w:r>
            <w:r>
              <w:rPr>
                <w:lang w:val="en-GB"/>
              </w:rPr>
              <w:fldChar w:fldCharType="begin" w:fldLock="1"/>
            </w:r>
            <w:r w:rsidR="006F4BEC">
              <w:rPr>
                <w:sz w:val="18"/>
                <w:szCs w:val="18"/>
                <w:lang w:val="fr-FR"/>
              </w:rPr>
              <w:instrText>ADDIN CSL_CITATION {"citationItems":[{"id":"ITEM-1","itemData":{"DOI":"10.1007/s00382-019-04966-z","ISBN":"0123456789","ISSN":"14320894","abstract":"The long-term effects of complex terrain on solar energy distributions and surface hydrology over the Tibetan Plateau (TP) are investigated using the 4th version of the global Community Climate System Model (CCSM4) coupled with a 3-D radiative transfer (RT) parameterization. We examine the differences between the results from CCSM4 with the 3-D RT parameterization and the results from CCSM4 with the plane-parallel RT scheme. In January (winter), the net surface solar flux (FSNS) displays negative deviations over valleys and the north slopes of mountains, especially in the northern margin of the TP, as a result of the 3-D shadow effect. Positive deviations in FSNS in January are found over the south slopes of mountains and over mountain tops, where more solar flux is intercepted. The deviations in total cloud fraction and snow water equivalent (SWE) exhibit patterns opposite to that of FSNS. The SWE decreases due to the 3-D mountain effect in spring and the magnitude of this effect depends on the terrain elevations. The SWE is reduced by 1–17 mm over the TP in April, with the largest decrease in SWE at an elevation of 3.5–4.5 km. Negative deviations in precipitation are found throughout the year, except in May and December, and they follow the seasonal variations in the deviations in total cloud fraction. The total liquid runoff at 3.5–4.5 km elevation increases in April due to earlier (March) snowmelt caused by increased downward solar radiation. The possible deviations in surface energy and SWE over the TP, caused by plane-parallel assumption in most climate models may result in biases in the liquid runoff and the river water resources over the TP and downstream.","author":[{"dropping-particle":"","family":"Fan","given":"Xuehua","non-dropping-particle":"","parse-names":false,"suffix":""},{"dropping-particle":"","family":"Gu","given":"Yu","non-dropping-particle":"","parse-names":false,"suffix":""},{"dropping-particle":"","family":"Liou","given":"Kuo Nan","non-dropping-particle":"","parse-names":false,"suffix":""},{"dropping-particle":"","family":"Lee","given":"Wei Liang","non-dropping-particle":"","parse-names":false,"suffix":""},{"dropping-particle":"","family":"Zhao","given":"Bin","non-dropping-particle":"","parse-names":false,"suffix":""},{"dropping-particle":"","family":"Chen","given":"Hongbin","non-dropping-particle":"","parse-names":false,"suffix":""},{"dropping-particle":"","family":"Lu","given":"Daren","non-dropping-particle":"","parse-names":false,"suffix":""}],"container-title":"Climate Dynamics","id":"ITEM-1","issue":"11","issued":{"date-parts":[["2019"]]},"page":"6919-6932","title":"Modeling study of the impact of complex terrain on the surface energy and hydrology over the Tibetan Plateau","type":"article-journal","volume":"53"},"uris":["http://www.mendeley.com/documents/?uuid=360ba24a-9131-4614-80bb-601b073c2eb3"]}],"mendeley":{"formattedCitation":"(Fan et al., 2019)","manualFormatting":"(2019)","plainTextFormattedCitation":"(Fan et al., 2019)","previouslyFormattedCitation":"(Fan et al., 2019)"},"properties":{"noteIndex":0},"schema":"https://github.com/citation-style-language/schema/raw/master/csl-citation.json"}</w:instrText>
            </w:r>
            <w:r>
              <w:rPr>
                <w:sz w:val="18"/>
                <w:szCs w:val="18"/>
                <w:lang w:val="en-GB"/>
              </w:rPr>
              <w:fldChar w:fldCharType="separate"/>
            </w:r>
            <w:r w:rsidR="00BD4033" w:rsidRPr="00BD4033">
              <w:rPr>
                <w:noProof/>
                <w:sz w:val="18"/>
                <w:szCs w:val="18"/>
                <w:lang w:val="fr-FR"/>
              </w:rPr>
              <w:t>(2019)</w:t>
            </w:r>
            <w:r>
              <w:rPr>
                <w:sz w:val="18"/>
                <w:szCs w:val="18"/>
                <w:lang w:val="en-GB"/>
              </w:rPr>
              <w:fldChar w:fldCharType="end"/>
            </w:r>
            <w:r w:rsidRPr="001A5DAF">
              <w:rPr>
                <w:sz w:val="18"/>
                <w:szCs w:val="18"/>
                <w:vertAlign w:val="superscript"/>
                <w:lang w:val="fr-FR"/>
              </w:rPr>
              <w:t xml:space="preserve"> </w:t>
            </w:r>
            <w:proofErr w:type="spellStart"/>
            <w:r w:rsidRPr="001A5DAF">
              <w:rPr>
                <w:sz w:val="18"/>
                <w:szCs w:val="18"/>
                <w:lang w:val="fr-FR"/>
              </w:rPr>
              <w:t>compared</w:t>
            </w:r>
            <w:proofErr w:type="spellEnd"/>
            <w:r w:rsidRPr="001A5DAF">
              <w:rPr>
                <w:sz w:val="18"/>
                <w:szCs w:val="18"/>
                <w:lang w:val="fr-FR"/>
              </w:rPr>
              <w:t xml:space="preserve"> </w:t>
            </w:r>
            <w:proofErr w:type="spellStart"/>
            <w:r w:rsidRPr="001A5DAF">
              <w:rPr>
                <w:sz w:val="18"/>
                <w:szCs w:val="18"/>
                <w:lang w:val="fr-FR"/>
              </w:rPr>
              <w:t>two</w:t>
            </w:r>
            <w:proofErr w:type="spellEnd"/>
            <w:r w:rsidRPr="001A5DAF">
              <w:rPr>
                <w:sz w:val="18"/>
                <w:szCs w:val="18"/>
                <w:lang w:val="fr-FR"/>
              </w:rPr>
              <w:t xml:space="preserve"> </w:t>
            </w:r>
            <w:proofErr w:type="spellStart"/>
            <w:r w:rsidRPr="001A5DAF">
              <w:rPr>
                <w:sz w:val="18"/>
                <w:szCs w:val="18"/>
                <w:lang w:val="fr-FR"/>
              </w:rPr>
              <w:t>different</w:t>
            </w:r>
            <w:proofErr w:type="spellEnd"/>
            <w:r w:rsidRPr="001A5DAF">
              <w:rPr>
                <w:sz w:val="18"/>
                <w:szCs w:val="18"/>
                <w:lang w:val="fr-FR"/>
              </w:rPr>
              <w:t xml:space="preserve"> </w:t>
            </w:r>
            <w:proofErr w:type="spellStart"/>
            <w:r w:rsidRPr="001A5DAF">
              <w:rPr>
                <w:sz w:val="18"/>
                <w:szCs w:val="18"/>
                <w:lang w:val="fr-FR"/>
              </w:rPr>
              <w:t>parameterisations</w:t>
            </w:r>
            <w:proofErr w:type="spellEnd"/>
            <w:r w:rsidRPr="001A5DAF">
              <w:rPr>
                <w:sz w:val="18"/>
                <w:szCs w:val="18"/>
                <w:lang w:val="fr-FR"/>
              </w:rPr>
              <w:t xml:space="preserve"> of a </w:t>
            </w:r>
            <w:proofErr w:type="spellStart"/>
            <w:r w:rsidRPr="001A5DAF">
              <w:rPr>
                <w:sz w:val="18"/>
                <w:szCs w:val="18"/>
                <w:lang w:val="fr-FR"/>
              </w:rPr>
              <w:t>dynamical</w:t>
            </w:r>
            <w:proofErr w:type="spellEnd"/>
            <w:r w:rsidRPr="001A5DAF">
              <w:rPr>
                <w:sz w:val="18"/>
                <w:szCs w:val="18"/>
                <w:lang w:val="fr-FR"/>
              </w:rPr>
              <w:t xml:space="preserve"> model for </w:t>
            </w:r>
            <w:proofErr w:type="spellStart"/>
            <w:r w:rsidRPr="001A5DAF">
              <w:rPr>
                <w:sz w:val="18"/>
                <w:szCs w:val="18"/>
                <w:lang w:val="fr-FR"/>
              </w:rPr>
              <w:t>solar</w:t>
            </w:r>
            <w:proofErr w:type="spellEnd"/>
            <w:r w:rsidRPr="001A5DAF">
              <w:rPr>
                <w:sz w:val="18"/>
                <w:szCs w:val="18"/>
                <w:lang w:val="fr-FR"/>
              </w:rPr>
              <w:t xml:space="preserve"> </w:t>
            </w:r>
            <w:proofErr w:type="spellStart"/>
            <w:r w:rsidRPr="001A5DAF">
              <w:rPr>
                <w:sz w:val="18"/>
                <w:szCs w:val="18"/>
                <w:lang w:val="fr-FR"/>
              </w:rPr>
              <w:t>energy</w:t>
            </w:r>
            <w:proofErr w:type="spellEnd"/>
            <w:r w:rsidRPr="001A5DAF">
              <w:rPr>
                <w:sz w:val="18"/>
                <w:szCs w:val="18"/>
                <w:lang w:val="fr-FR"/>
              </w:rPr>
              <w:t xml:space="preserve"> distribution and surface </w:t>
            </w:r>
            <w:proofErr w:type="spellStart"/>
            <w:r w:rsidRPr="001A5DAF">
              <w:rPr>
                <w:sz w:val="18"/>
                <w:szCs w:val="18"/>
                <w:lang w:val="fr-FR"/>
              </w:rPr>
              <w:t>hydrology</w:t>
            </w:r>
            <w:proofErr w:type="spellEnd"/>
            <w:r w:rsidRPr="001A5DAF">
              <w:rPr>
                <w:sz w:val="18"/>
                <w:szCs w:val="18"/>
                <w:lang w:val="fr-FR"/>
              </w:rPr>
              <w:t xml:space="preserve"> over the Tibetan Plateau. </w:t>
            </w:r>
            <w:r>
              <w:rPr>
                <w:sz w:val="18"/>
                <w:szCs w:val="18"/>
                <w:lang w:val="en-GB"/>
              </w:rPr>
              <w:t>The dynamical model was the Community Climate System Model (CCSM4). One parameterisation used 3D radiative transfer and the other used plane-parallel radiative transfer. The results of both parameterisations were compared visually in figures, as text, and numerically. Consideration of different processes and how they could impact results should also be considered in statistical models.</w:t>
            </w:r>
          </w:p>
          <w:p w14:paraId="687729DC" w14:textId="77777777" w:rsidR="00644FDF" w:rsidRDefault="00C732FA">
            <w:pPr>
              <w:widowControl w:val="0"/>
              <w:ind w:right="140"/>
              <w:rPr>
                <w:sz w:val="18"/>
                <w:szCs w:val="18"/>
                <w:lang w:val="en-GB"/>
              </w:rPr>
            </w:pPr>
            <w:r>
              <w:rPr>
                <w:sz w:val="18"/>
                <w:szCs w:val="18"/>
                <w:lang w:val="en-GB"/>
              </w:rPr>
              <w:t xml:space="preserve"> </w:t>
            </w:r>
          </w:p>
          <w:p w14:paraId="3E8DCAD8" w14:textId="77777777" w:rsidR="00644FDF" w:rsidRDefault="00C732FA">
            <w:pPr>
              <w:widowControl w:val="0"/>
              <w:ind w:right="140"/>
              <w:rPr>
                <w:b/>
                <w:sz w:val="18"/>
                <w:szCs w:val="18"/>
                <w:lang w:val="en-GB"/>
              </w:rPr>
            </w:pPr>
            <w:r>
              <w:rPr>
                <w:b/>
                <w:sz w:val="18"/>
                <w:szCs w:val="18"/>
                <w:lang w:val="en-GB"/>
              </w:rPr>
              <w:t>example of comparing results using two model structures</w:t>
            </w:r>
          </w:p>
        </w:tc>
      </w:tr>
    </w:tbl>
    <w:p w14:paraId="2F3ADDAE" w14:textId="77777777" w:rsidR="00644FDF" w:rsidRDefault="00644FDF">
      <w:pPr>
        <w:pBdr>
          <w:bottom w:val="single" w:sz="36" w:space="1" w:color="000000"/>
        </w:pBdr>
        <w:rPr>
          <w:sz w:val="24"/>
          <w:szCs w:val="24"/>
          <w:lang w:val="en-GB"/>
        </w:rPr>
      </w:pPr>
    </w:p>
    <w:p w14:paraId="00571BC1" w14:textId="77777777" w:rsidR="00644FDF" w:rsidRDefault="00644FDF">
      <w:pPr>
        <w:rPr>
          <w:sz w:val="24"/>
          <w:szCs w:val="24"/>
          <w:lang w:val="en-GB"/>
        </w:rPr>
      </w:pPr>
    </w:p>
    <w:p w14:paraId="28D06FCA" w14:textId="77777777" w:rsidR="00644FDF" w:rsidRDefault="00C732FA">
      <w:pPr>
        <w:rPr>
          <w:b/>
          <w:sz w:val="28"/>
          <w:szCs w:val="28"/>
          <w:lang w:val="en-GB"/>
        </w:rPr>
      </w:pPr>
      <w:r>
        <w:rPr>
          <w:b/>
          <w:sz w:val="28"/>
          <w:szCs w:val="28"/>
          <w:lang w:val="en-GB"/>
        </w:rPr>
        <w:t>Outstanding challenges</w:t>
      </w:r>
    </w:p>
    <w:p w14:paraId="5F5D6675" w14:textId="77777777" w:rsidR="00644FDF" w:rsidRDefault="00C732FA">
      <w:pPr>
        <w:rPr>
          <w:sz w:val="28"/>
          <w:szCs w:val="28"/>
          <w:lang w:val="en-GB"/>
        </w:rPr>
      </w:pPr>
      <w:r>
        <w:rPr>
          <w:sz w:val="28"/>
          <w:szCs w:val="28"/>
          <w:lang w:val="en-GB"/>
        </w:rPr>
        <w:t xml:space="preserve"> </w:t>
      </w:r>
    </w:p>
    <w:p w14:paraId="1D308912" w14:textId="77777777" w:rsidR="00644FDF" w:rsidRDefault="00C732FA">
      <w:pPr>
        <w:rPr>
          <w:lang w:val="en-GB"/>
        </w:rPr>
      </w:pPr>
      <w:r>
        <w:rPr>
          <w:lang w:val="en-GB"/>
        </w:rPr>
        <w:t>In addition to the opportunities for improvement identified in the section above, we also note shared outstanding challenges to effective and comprehensive quantification of model-based uncertainty that span the included fields and model types. These challenges are yet to have satisfactory solutions for any field. We discuss each challenge in detail below and propose some next steps for the research community to create a path to overcome them.</w:t>
      </w:r>
    </w:p>
    <w:p w14:paraId="6A0746F6" w14:textId="77777777" w:rsidR="00644FDF" w:rsidRDefault="00C732FA">
      <w:pPr>
        <w:rPr>
          <w:sz w:val="24"/>
          <w:szCs w:val="24"/>
          <w:lang w:val="en-GB"/>
        </w:rPr>
      </w:pPr>
      <w:r>
        <w:rPr>
          <w:sz w:val="24"/>
          <w:szCs w:val="24"/>
          <w:lang w:val="en-GB"/>
        </w:rPr>
        <w:t xml:space="preserve"> </w:t>
      </w:r>
    </w:p>
    <w:p w14:paraId="343A39E3" w14:textId="2DEAFC83" w:rsidR="00644FDF" w:rsidRDefault="00C732FA">
      <w:pPr>
        <w:rPr>
          <w:lang w:val="en-GB"/>
        </w:rPr>
      </w:pPr>
      <w:r>
        <w:rPr>
          <w:b/>
          <w:lang w:val="en-GB"/>
        </w:rPr>
        <w:t xml:space="preserve">Input data uncertainty. </w:t>
      </w:r>
      <w:bookmarkStart w:id="1" w:name="_Hlk97911869"/>
      <w:r>
        <w:rPr>
          <w:lang w:val="en-GB"/>
        </w:rPr>
        <w:t xml:space="preserve">Across all fields assessed here, the source of uncertainty reported least often is for the data sources. Uncertainty from explanatory variables was quantified and reported &lt; </w:t>
      </w:r>
      <w:r w:rsidR="006F4BEC">
        <w:rPr>
          <w:lang w:val="en-GB"/>
        </w:rPr>
        <w:t>25</w:t>
      </w:r>
      <w:r>
        <w:rPr>
          <w:lang w:val="en-GB"/>
        </w:rPr>
        <w:t>% of the time and uncertainty from the response was reported &lt; 5</w:t>
      </w:r>
      <w:r w:rsidR="006F4BEC">
        <w:rPr>
          <w:lang w:val="en-GB"/>
        </w:rPr>
        <w:t>2</w:t>
      </w:r>
      <w:r>
        <w:rPr>
          <w:lang w:val="en-GB"/>
        </w:rPr>
        <w:t xml:space="preserve">% of the time across fields (see Figure 1). The slightly </w:t>
      </w:r>
      <w:r>
        <w:rPr>
          <w:lang w:val="en-GB"/>
        </w:rPr>
        <w:lastRenderedPageBreak/>
        <w:t xml:space="preserve">higher reporting rate of uncertainty in the response is driven by greater reporting for dynamical models (see Figure 2). This is because responses in these models are rarely in the form of input data, instead being predictions or validation data. It is the quantification and reporting of uncertainty arising from input data (observed data used as inputs to a model) that we identified as a particular challenge, but consequences of ignoring it can </w:t>
      </w:r>
      <w:r>
        <w:rPr>
          <w:bCs/>
          <w:lang w:val="en-GB"/>
        </w:rPr>
        <w:t xml:space="preserve">be severe </w:t>
      </w:r>
      <w:r>
        <w:rPr>
          <w:lang w:val="en-GB"/>
        </w:rPr>
        <w:fldChar w:fldCharType="begin" w:fldLock="1"/>
      </w:r>
      <w:r>
        <w:rPr>
          <w:bCs/>
          <w:lang w:val="en-GB"/>
        </w:rPr>
        <w:instrText>ADDIN CSL_CITATION {"citationItems":[{"id":"ITEM-1","itemData":{"DOI":"10.1016/j.tree.2020.07.003","ISSN":"01695347","PMID":"32727661","abstract":"In many applied cases of ecological and environmental modeling there is sizeable variation in the independent variables as a result of measurement and sampling errors. This uncertainty may lead to biased predictions. It is possible to avoid this problem by increased sampling and by modeling the errors using hierarchical modeling.","author":[{"dropping-particle":"","family":"Damgaard","given":"Christian","non-dropping-particle":"","parse-names":false,"suffix":""}],"container-title":"Trends in Ecology and Evolution","id":"ITEM-1","issue":"10","issued":{"date-parts":[["2020"]]},"page":"871-873","publisher":"Elsevier Ltd","title":"Measurement Uncertainty in Ecological and Environmental Models","type":"article-journal","volume":"35"},"uris":["http://www.mendeley.com/documents/?uuid=5637cecd-d3bd-48e8-a969-44954903be4f","http://www.mendeley.com/documents/?uuid=e2c9580b-0f91-49b4-9fe5-cea3af4e26d8"]}],"mendeley":{"formattedCitation":"(Damgaard, 2020)","plainTextFormattedCitation":"(Damgaard, 2020)","previouslyFormattedCitation":"(Damgaard, 2020)"},"properties":{"noteIndex":0},"schema":"https://github.com/citation-style-language/schema/raw/master/csl-citation.json"}</w:instrText>
      </w:r>
      <w:r>
        <w:rPr>
          <w:bCs/>
          <w:lang w:val="en-GB"/>
        </w:rPr>
        <w:fldChar w:fldCharType="separate"/>
      </w:r>
      <w:r>
        <w:rPr>
          <w:bCs/>
          <w:noProof/>
          <w:lang w:val="en-GB"/>
        </w:rPr>
        <w:t>(Damgaard, 2020)</w:t>
      </w:r>
      <w:r>
        <w:rPr>
          <w:bCs/>
          <w:lang w:val="en-GB"/>
        </w:rPr>
        <w:fldChar w:fldCharType="end"/>
      </w:r>
      <w:r>
        <w:rPr>
          <w:bCs/>
          <w:lang w:val="en-GB"/>
        </w:rPr>
        <w:t xml:space="preserve">. </w:t>
      </w:r>
      <w:r>
        <w:rPr>
          <w:lang w:val="en-GB"/>
        </w:rPr>
        <w:t xml:space="preserve">Uncertainty can enter the modelling process from input data (both the response and explanatory variables) through random noise, unknown </w:t>
      </w:r>
      <w:proofErr w:type="gramStart"/>
      <w:r>
        <w:rPr>
          <w:lang w:val="en-GB"/>
        </w:rPr>
        <w:t>measurement</w:t>
      </w:r>
      <w:proofErr w:type="gramEnd"/>
      <w:r>
        <w:rPr>
          <w:lang w:val="en-GB"/>
        </w:rPr>
        <w:t xml:space="preserve"> or observation errors, or missed processes that could lead to imprecise predictions. We identified three key challenges that are preventing quantification of input data uncertainty. The first is logistics</w:t>
      </w:r>
      <w:r w:rsidR="0031428A">
        <w:rPr>
          <w:lang w:val="en-GB"/>
        </w:rPr>
        <w:t>,</w:t>
      </w:r>
      <w:r>
        <w:rPr>
          <w:lang w:val="en-GB"/>
        </w:rPr>
        <w:t xml:space="preserve"> as it is not always possible to obtain sufficient measurements to be able to quantify uncertainty in particular variables. This is more common when data are very costly or logistically challenging to collect. The second and third barriers are related and comprise both a lack of knowledge of methods to quantify input data uncertainty and a lack of knowledge of the impact of failing to quantify input data uncertainty in different situations.</w:t>
      </w:r>
      <w:bookmarkEnd w:id="1"/>
    </w:p>
    <w:p w14:paraId="38CB903C" w14:textId="77777777" w:rsidR="00644FDF" w:rsidRDefault="00C732FA">
      <w:pPr>
        <w:rPr>
          <w:lang w:val="en-GB"/>
        </w:rPr>
      </w:pPr>
      <w:r>
        <w:rPr>
          <w:lang w:val="en-GB"/>
        </w:rPr>
        <w:t xml:space="preserve"> </w:t>
      </w:r>
    </w:p>
    <w:p w14:paraId="74690E4F" w14:textId="73C591DD" w:rsidR="00644FDF" w:rsidRDefault="00C732FA">
      <w:pPr>
        <w:rPr>
          <w:lang w:val="en-GB"/>
        </w:rPr>
      </w:pPr>
      <w:r>
        <w:rPr>
          <w:bCs/>
          <w:lang w:val="en-GB"/>
        </w:rPr>
        <w:t xml:space="preserve">Tools do exist to quantify or remove most of these sources of uncertainty. There is a long history of using various error-in-variables models to account for uncertainty in the measurement of explanatory variables </w:t>
      </w:r>
      <w:r>
        <w:rPr>
          <w:lang w:val="en-GB"/>
        </w:rPr>
        <w:fldChar w:fldCharType="begin" w:fldLock="1"/>
      </w:r>
      <w:r>
        <w:rPr>
          <w:bCs/>
          <w:lang w:val="en-GB"/>
        </w:rPr>
        <w:instrText>ADDIN CSL_CITATION {"citationItems":[{"id":"ITEM-1","itemData":{"DOI":"10.1257/jel.49.4.901","ISSN":"00220515","abstract":"Measurement errors in economic data are pervasive and nontrivial in size. The presence of measurement errors causes biased and inconsistent parameter estimates and leads to erroneous conclusions to various degrees in economic analysis. While linear errors-in-variables models are usually handled with well-known instrumental variable methods, this article provides an overview of recent research papers that derive estimation methods that provide consistent estimates for nonlinear models with measurement errors. We review models with both classical and nonclassical measurement errors, and with misclassification of discrete variables. For each of the methods surveyed, we describe the key ideas for identification and estimation, and discuss its application whenever it is currently available. © 2011 AEA.","author":[{"dropping-particle":"","family":"Chen","given":"Xiaohong","non-dropping-particle":"","parse-names":false,"suffix":""},{"dropping-particle":"","family":"Hong","given":"Han","non-dropping-particle":"","parse-names":false,"suffix":""},{"dropping-particle":"","family":"Nekipelov","given":"Denis","non-dropping-particle":"","parse-names":false,"suffix":""}],"container-title":"Journal of Economic Literature","id":"ITEM-1","issue":"4","issued":{"date-parts":[["2011"]]},"page":"901-937","title":"Nonlinear models of measurement errors","type":"article-journal","volume":"49"},"uris":["http://www.mendeley.com/documents/?uuid=c859d60e-f870-4749-aa24-ad288936bc0a","http://www.mendeley.com/documents/?uuid=b62ce5b7-1652-4666-aa58-68472e372c2a"]},{"id":"ITEM-2","itemData":{"author":[{"dropping-particle":"","family":"Fuller","given":"Wayne A.","non-dropping-particle":"","parse-names":false,"suffix":""}],"id":"ITEM-2","issued":{"date-parts":[["1987"]]},"publisher":"John Wiley &amp; Sons, Inc","title":"Measurement Error Models","type":"book"},"uris":["http://www.mendeley.com/documents/?uuid=53a5a4f2-b1ca-4fba-a151-c2a568c09127","http://www.mendeley.com/documents/?uuid=cfc528b1-078a-42a9-82e2-d967c1ce5474"]},{"id":"ITEM-3","itemData":{"author":[{"dropping-particle":"","family":"Pearson","given":"Karl","non-dropping-particle":"","parse-names":false,"suffix":""}],"container-title":"Royal Society Proceedings","id":"ITEM-3","issued":{"date-parts":[["1902"]]},"page":"235-290","title":"On the Mathematical Theory of Errors of Judgement, with Special Reference to the Personal Equation","type":"article-journal","volume":"60"},"uris":["http://www.mendeley.com/documents/?uuid=beaf3e0c-d757-425a-ab41-e7a9af157e1e","http://www.mendeley.com/documents/?uuid=8aee99cf-01f5-487d-b1eb-4d3b8e573168"]},{"id":"ITEM-4","itemData":{"DOI":"10.1086/209899","ISSN":"0734306X","PMID":"12321897","abstract":"This article utilizes an exact match file between the 1978 March Current Population Survey and administrative records from the Social Security Administration to analyze errors in the reporting of annual income using nonparametric methodology. The article extends work of Bound and Krueger, and the results confirm many of the findings in Bound and Krueger. Three new findings are of interest: there is higher measurement error in cross-sectional samples than in panels. The negative relationship between measurement error and earnings is driven largely by overreporting among low earners. Median response errors are not related to earnings.","author":[{"dropping-particle":"","family":"Bollinger","given":"Christopher R.","non-dropping-particle":"","parse-names":false,"suffix":""}],"container-title":"Journal of Labor Economics","id":"ITEM-4","issue":"3","issued":{"date-parts":[["1998"]]},"page":"576-594","title":"Measurement error in the current population survey: A nonparametric look","type":"article-journal","volume":"16"},"uris":["http://www.mendeley.com/documents/?uuid=f2544b63-c557-4660-8226-b04351262fc4","http://www.mendeley.com/documents/?uuid=44fdd369-928f-43ad-bbec-8ae55317625f"]}],"mendeley":{"formattedCitation":"(Bollinger, 1998; Chen et al., 2011; Fuller, 1987; Pearson, 1902)","plainTextFormattedCitation":"(Bollinger, 1998; Chen et al., 2011; Fuller, 1987; Pearson, 1902)","previouslyFormattedCitation":"(Bollinger, 1998; Chen et al., 2011; Fuller, 1987; Pearson, 1902)"},"properties":{"noteIndex":0},"schema":"https://github.com/citation-style-language/schema/raw/master/csl-citation.json"}</w:instrText>
      </w:r>
      <w:r>
        <w:rPr>
          <w:bCs/>
          <w:lang w:val="en-GB"/>
        </w:rPr>
        <w:fldChar w:fldCharType="separate"/>
      </w:r>
      <w:r>
        <w:rPr>
          <w:bCs/>
          <w:noProof/>
          <w:lang w:val="en-GB"/>
        </w:rPr>
        <w:t>(Bollinger, 1998; Chen et al., 2011; Fuller, 1987; Pearson, 1902)</w:t>
      </w:r>
      <w:r>
        <w:rPr>
          <w:bCs/>
          <w:lang w:val="en-GB"/>
        </w:rPr>
        <w:fldChar w:fldCharType="end"/>
      </w:r>
      <w:r>
        <w:rPr>
          <w:bCs/>
          <w:lang w:val="en-GB"/>
        </w:rPr>
        <w:t xml:space="preserve"> and international standards do exist </w:t>
      </w:r>
      <w:r>
        <w:rPr>
          <w:bCs/>
          <w:lang w:val="en-GB"/>
        </w:rPr>
        <w:fldChar w:fldCharType="begin" w:fldLock="1"/>
      </w:r>
      <w:r>
        <w:rPr>
          <w:bCs/>
          <w:lang w:val="en-GB"/>
        </w:rPr>
        <w:instrText>ADDIN CSL_CITATION {"citationItems":[{"id":"ITEM-1","itemData":{"author":[{"dropping-particle":"","family":"JCGM","given":"","non-dropping-particle":"","parse-names":false,"suffix":""}],"id":"ITEM-1","issued":{"date-parts":[["2008"]]},"title":"ISO.IEC Guide 98-3:2008: Uncertainty of Measurement -- Part 3: Guide to the Expression of Uncertainty in Measurement (GUM: 1995)","type":"report"},"uris":["http://www.mendeley.com/documents/?uuid=8850b859-7159-4637-ac84-1eb82a30fdd0"]}],"mendeley":{"formattedCitation":"(JCGM, 2008)","plainTextFormattedCitation":"(JCGM, 2008)","previouslyFormattedCitation":"(JCGM, 2008)"},"properties":{"noteIndex":0},"schema":"https://github.com/citation-style-language/schema/raw/master/csl-citation.json"}</w:instrText>
      </w:r>
      <w:r>
        <w:rPr>
          <w:bCs/>
          <w:lang w:val="en-GB"/>
        </w:rPr>
        <w:fldChar w:fldCharType="separate"/>
      </w:r>
      <w:r>
        <w:rPr>
          <w:bCs/>
          <w:noProof/>
          <w:lang w:val="en-GB"/>
        </w:rPr>
        <w:t>(JCGM, 2008)</w:t>
      </w:r>
      <w:r>
        <w:rPr>
          <w:bCs/>
          <w:lang w:val="en-GB"/>
        </w:rPr>
        <w:fldChar w:fldCharType="end"/>
      </w:r>
      <w:r>
        <w:rPr>
          <w:bCs/>
          <w:lang w:val="en-GB"/>
        </w:rPr>
        <w:t>, although it is suggested these standards may not be applicable to highly complex models</w:t>
      </w:r>
      <w:r w:rsidR="00B85D40">
        <w:rPr>
          <w:bCs/>
          <w:lang w:val="en-GB"/>
        </w:rPr>
        <w:t xml:space="preserve"> </w:t>
      </w:r>
      <w:r>
        <w:rPr>
          <w:bCs/>
          <w:lang w:val="en-GB"/>
        </w:rPr>
        <w:fldChar w:fldCharType="begin" w:fldLock="1"/>
      </w:r>
      <w:r w:rsidR="00BD4033">
        <w:rPr>
          <w:bCs/>
          <w:lang w:val="en-GB"/>
        </w:rPr>
        <w:instrText>ADDIN CSL_CITATION {"citationItems":[{"id":"ITEM-1","itemData":{"DOI":"10.1016/j.cirpj.2021.03.004","ISSN":"17555817","abstract":"Engineering systems must function effectively whilst maintaining reliability in service. Predicting maintenance costs and asset availability raises varying degrees of uncertainty from multiple sources. Previous reviews in this domain have assessed cost uncertainty and estimation for the entire life cycle. This paper presents a systematic review to investigate existing methodologies and challenges in uncertainty quantification, aggregation and forecasting for modern engineering systems through their in-service life. Approaches to forecast uncertainty here are hindered chiefly by data quality of available data, experience and knowledge. A total of 107 papers were analysed to answer three research questions based on the scope, through which two core research gaps were identified. An integrated combination of identified approaches will enhance rigour in uncertainty assessment and forecasting. This review contributes a systematic identification and assessment of current practices in uncertainty quantification and scientific methodologies to quantify, aggregate and forecast quantitative and qualitative uncertainties to better understand their impact on cost and availability to aid decision making throughout the in-service phase.","author":[{"dropping-particle":"","family":"Grenyer","given":"Alex","non-dropping-particle":"","parse-names":false,"suffix":""},{"dropping-particle":"","family":"Erkoyuncu","given":"John A.","non-dropping-particle":"","parse-names":false,"suffix":""},{"dropping-particle":"","family":"Zhao","given":"Yifan","non-dropping-particle":"","parse-names":false,"suffix":""},{"dropping-particle":"","family":"Roy","given":"Rajkumar","non-dropping-particle":"","parse-names":false,"suffix":""}],"container-title":"CIRP Journal of Manufacturing Science and Technology","id":"ITEM-1","issued":{"date-parts":[["2021"]]},"page":"188-208","publisher":"CIRP","title":"A systematic review of multivariate uncertainty quantification for engineering systems","type":"article-journal","volume":"33"},"uris":["http://www.mendeley.com/documents/?uuid=8b7ea646-ea9e-4a06-8633-b9748234ae14"]}],"mendeley":{"formattedCitation":"(Grenyer et al., 2021)","plainTextFormattedCitation":"(Grenyer et al., 2021)","previouslyFormattedCitation":"(Grenyer et al., 2021)"},"properties":{"noteIndex":0},"schema":"https://github.com/citation-style-language/schema/raw/master/csl-citation.json"}</w:instrText>
      </w:r>
      <w:r>
        <w:rPr>
          <w:bCs/>
          <w:lang w:val="en-GB"/>
        </w:rPr>
        <w:fldChar w:fldCharType="separate"/>
      </w:r>
      <w:r>
        <w:rPr>
          <w:bCs/>
          <w:noProof/>
          <w:lang w:val="en-GB"/>
        </w:rPr>
        <w:t>(Grenyer et al., 2021)</w:t>
      </w:r>
      <w:r>
        <w:rPr>
          <w:bCs/>
          <w:lang w:val="en-GB"/>
        </w:rPr>
        <w:fldChar w:fldCharType="end"/>
      </w:r>
      <w:r>
        <w:rPr>
          <w:bCs/>
          <w:lang w:val="en-GB"/>
        </w:rPr>
        <w:t>. These models are supported by detailed theory in relation to linear models</w:t>
      </w:r>
      <w:r w:rsidR="0031428A">
        <w:rPr>
          <w:bCs/>
          <w:lang w:val="en-GB"/>
        </w:rPr>
        <w:t xml:space="preserve"> </w:t>
      </w:r>
      <w:r>
        <w:rPr>
          <w:lang w:val="en-GB"/>
        </w:rPr>
        <w:fldChar w:fldCharType="begin" w:fldLock="1"/>
      </w:r>
      <w:r>
        <w:rPr>
          <w:bCs/>
          <w:lang w:val="en-GB"/>
        </w:rPr>
        <w:instrText>ADDIN CSL_CITATION {"citationItems":[{"id":"ITEM-1","itemData":{"DOI":"10.1016/0304-4076(73)90005-5","ISSN":"03044076","author":[{"dropping-particle":"","family":"Aigner","given":"Dennis J.","non-dropping-particle":"","parse-names":false,"suffix":""}],"container-title":"Journal of Econometrics","id":"ITEM-1","issue":"1","issued":{"date-parts":[["1973"]]},"page":"49-59","title":"Regression with a binary independent variable subject to errors of observation","type":"article-journal","volume":"1"},"uris":["http://www.mendeley.com/documents/?uuid=ad2eb50e-123d-4b05-b83e-6343613a9ae7","http://www.mendeley.com/documents/?uuid=898d16c0-24f5-447d-81b7-45580e43cbb5"]},{"id":"ITEM-2","itemData":{"DOI":"10.1086/209899","ISSN":"0734306X","PMID":"12321897","abstract":"This article utilizes an exact match file between the 1978 March Current Population Survey and administrative records from the Social Security Administration to analyze errors in the reporting of annual income using nonparametric methodology. The article extends work of Bound and Krueger, and the results confirm many of the findings in Bound and Krueger. Three new findings are of interest: there is higher measurement error in cross-sectional samples than in panels. The negative relationship between measurement error and earnings is driven largely by overreporting among low earners. Median response errors are not related to earnings.","author":[{"dropping-particle":"","family":"Bollinger","given":"Christopher R.","non-dropping-particle":"","parse-names":false,"suffix":""}],"container-title":"Journal of Labor Economics","id":"ITEM-2","issue":"3","issued":{"date-parts":[["1998"]]},"page":"576-594","title":"Measurement error in the current population survey: A nonparametric look","type":"article-journal","volume":"16"},"uris":["http://www.mendeley.com/documents/?uuid=44fdd369-928f-43ad-bbec-8ae55317625f","http://www.mendeley.com/documents/?uuid=f2544b63-c557-4660-8226-b04351262fc4"]}],"mendeley":{"formattedCitation":"(Aigner, 1973; Bollinger, 1998)","plainTextFormattedCitation":"(Aigner, 1973; Bollinger, 1998)","previouslyFormattedCitation":"(Aigner, 1973; Bollinger, 1998)"},"properties":{"noteIndex":0},"schema":"https://github.com/citation-style-language/schema/raw/master/csl-citation.json"}</w:instrText>
      </w:r>
      <w:r>
        <w:rPr>
          <w:bCs/>
          <w:lang w:val="en-GB"/>
        </w:rPr>
        <w:fldChar w:fldCharType="separate"/>
      </w:r>
      <w:r>
        <w:rPr>
          <w:bCs/>
          <w:noProof/>
          <w:lang w:val="en-GB"/>
        </w:rPr>
        <w:t>(Aigner, 1973; Bollinger, 1998)</w:t>
      </w:r>
      <w:r>
        <w:rPr>
          <w:bCs/>
          <w:lang w:val="en-GB"/>
        </w:rPr>
        <w:fldChar w:fldCharType="end"/>
      </w:r>
      <w:r>
        <w:rPr>
          <w:bCs/>
          <w:lang w:val="en-GB"/>
        </w:rPr>
        <w:t xml:space="preserve"> and some non-linear models</w:t>
      </w:r>
      <w:r w:rsidR="0031428A">
        <w:rPr>
          <w:bCs/>
          <w:lang w:val="en-GB"/>
        </w:rPr>
        <w:t xml:space="preserve"> </w:t>
      </w:r>
      <w:r>
        <w:rPr>
          <w:lang w:val="en-GB"/>
        </w:rPr>
        <w:fldChar w:fldCharType="begin" w:fldLock="1"/>
      </w:r>
      <w:r>
        <w:rPr>
          <w:bCs/>
          <w:lang w:val="en-GB"/>
        </w:rPr>
        <w:instrText>ADDIN CSL_CITATION {"citationItems":[{"id":"ITEM-1","itemData":{"abstract":"Its been over a decade since the first edition of Measurement Error in Nonlinear Models splashed onto the scene, and research in the field has certainly not cooled in the interim. In fact, quite the opposite has occurred. As a result, Measurement Error in Nonlinear Models: A Modern Perspective, Second Edition has been revamped and extensively updated to offer the most comprehensive and up-to-date survey of measurement error models currently available. What's new in the Second Edition? • Greatly expanded discussion and applications of Bayesian computation via Markov Chain Monte Carlo techniques • A new chapter on longitudinal data and mixed models • A thoroughly revised chapter on nonparametric regression and density estimation • A totally new chapter on semiparametric regression • Survival analysis expanded into its own separate chapter • Completely rewritten chapter on score functions • Many more examples and illustrative graphs • Unique data sets compiled and made available online In addition, the authors expanded the background material in Appendix A and integrated the technical material from chapter appendices into a new Appendix B for convenient navigation. Regardless of your field, if youre looking for the most extensive discussion and review of measurement error models, then Measurement Error in Nonlinear Models: A Modern Perspective, Second Edition is your ideal source.","author":[{"dropping-particle":"","family":"Carroll","given":"Raymond J.","non-dropping-particle":"","parse-names":false,"suffix":""},{"dropping-particle":"","family":"Ruppert","given":"David","non-dropping-particle":"","parse-names":false,"suffix":""},{"dropping-particle":"","family":"Stefanski","given":"Leonard A.","non-dropping-particle":"","parse-names":false,"suffix":""},{"dropping-particle":"","family":"Crainiceanu","given":"Ciprian M.","non-dropping-particle":"","parse-names":false,"suffix":""}],"container-title":"Measurement Error in Nonlinear Models: A Modern Perspective, Second Edition","id":"ITEM-1","issued":{"date-parts":[["2006"]]},"title":"Measurement error in nonlinear models: A modern perspective, second edition","type":"book"},"uris":["http://www.mendeley.com/documents/?uuid=2a4f8de5-5ea7-3518-a7d1-abf94b0b9e2d","http://www.mendeley.com/documents/?uuid=df695ba3-4b55-466f-8b9e-7617acdf0b47"]},{"id":"ITEM-2","itemData":{"DOI":"10.1257/jel.49.4.901","ISSN":"00220515","abstract":"Measurement errors in economic data are pervasive and nontrivial in size. The presence of measurement errors causes biased and inconsistent parameter estimates and leads to erroneous conclusions to various degrees in economic analysis. While linear errors-in-variables models are usually handled with well-known instrumental variable methods, this article provides an overview of recent research papers that derive estimation methods that provide consistent estimates for nonlinear models with measurement errors. We review models with both classical and nonclassical measurement errors, and with misclassification of discrete variables. For each of the methods surveyed, we describe the key ideas for identification and estimation, and discuss its application whenever it is currently available. © 2011 AEA.","author":[{"dropping-particle":"","family":"Chen","given":"Xiaohong","non-dropping-particle":"","parse-names":false,"suffix":""},{"dropping-particle":"","family":"Hong","given":"Han","non-dropping-particle":"","parse-names":false,"suffix":""},{"dropping-particle":"","family":"Nekipelov","given":"Denis","non-dropping-particle":"","parse-names":false,"suffix":""}],"container-title":"Journal of Economic Literature","id":"ITEM-2","issue":"4","issued":{"date-parts":[["2011"]]},"page":"901-937","title":"Nonlinear models of measurement errors","type":"article-journal","volume":"49"},"uris":["http://www.mendeley.com/documents/?uuid=b62ce5b7-1652-4666-aa58-68472e372c2a","http://www.mendeley.com/documents/?uuid=c859d60e-f870-4749-aa24-ad288936bc0a"]}],"mendeley":{"formattedCitation":"(Carroll et al., 2006; Chen et al., 2011)","plainTextFormattedCitation":"(Carroll et al., 2006; Chen et al., 2011)","previouslyFormattedCitation":"(Carroll et al., 2006; Chen et al., 2011)"},"properties":{"noteIndex":0},"schema":"https://github.com/citation-style-language/schema/raw/master/csl-citation.json"}</w:instrText>
      </w:r>
      <w:r>
        <w:rPr>
          <w:bCs/>
          <w:lang w:val="en-GB"/>
        </w:rPr>
        <w:fldChar w:fldCharType="separate"/>
      </w:r>
      <w:r>
        <w:rPr>
          <w:bCs/>
          <w:noProof/>
          <w:lang w:val="en-GB"/>
        </w:rPr>
        <w:t>(Carroll et al., 2006; Chen et al., 2011)</w:t>
      </w:r>
      <w:r>
        <w:rPr>
          <w:bCs/>
          <w:lang w:val="en-GB"/>
        </w:rPr>
        <w:fldChar w:fldCharType="end"/>
      </w:r>
      <w:r>
        <w:rPr>
          <w:bCs/>
          <w:lang w:val="en-GB"/>
        </w:rPr>
        <w:t xml:space="preserve"> and there are a myriad of options of models to quantify this type of uncertainty or bias. Models also exist to quantify observation error in response and explanatory variables, through the mapping of observed data to an unobserved or latent state (state-space models), which are widely used in demographic ecology</w:t>
      </w:r>
      <w:r w:rsidR="0031428A">
        <w:rPr>
          <w:bCs/>
          <w:lang w:val="en-GB"/>
        </w:rPr>
        <w:t xml:space="preserve"> </w:t>
      </w:r>
      <w:r>
        <w:rPr>
          <w:lang w:val="en-GB"/>
        </w:rPr>
        <w:fldChar w:fldCharType="begin" w:fldLock="1"/>
      </w:r>
      <w:r>
        <w:rPr>
          <w:bCs/>
          <w:lang w:val="en-GB"/>
        </w:rPr>
        <w:instrText>ADDIN CSL_CITATION {"citationItems":[{"id":"ITEM-1","itemData":{"DOI":"10.1016/j.ecolmodel.2007.03.040","ISSN":"03043800","abstract":"State-space models have recently been proposed as a convenient and flexible framework for specifying stochastic models for the dynamics of wild animal populations. Here we focus on the modelling of data on marked individuals which is frequently used in order to estimate demographic parameters while accounting for imperfect detectability. We show how usual models to deal with capture-recapture and ring-recovery data can be fruitfully written as state-space models. An illustration is given using real data and a Bayesian approach using MCMC methods is implemented to estimate the parameters. Eventually, we discuss future developments that may be facilitated by the SSM formulation. © 2007 Elsevier B.V. All rights reserved.","author":[{"dropping-particle":"","family":"Gimenez","given":"Olivier","non-dropping-particle":"","parse-names":false,"suffix":""},{"dropping-particle":"","family":"Rossi","given":"Vivien","non-dropping-particle":"","parse-names":false,"suffix":""},{"dropping-particle":"","family":"Choquet","given":"Rémi","non-dropping-particle":"","parse-names":false,"suffix":""},{"dropping-particle":"","family":"Dehais","given":"Camille","non-dropping-particle":"","parse-names":false,"suffix":""},{"dropping-particle":"","family":"Doris","given":"Blaise","non-dropping-particle":"","parse-names":false,"suffix":""},{"dropping-particle":"","family":"Varella","given":"Hubert","non-dropping-particle":"","parse-names":false,"suffix":""},{"dropping-particle":"","family":"Vila","given":"Jean Pierre","non-dropping-particle":"","parse-names":false,"suffix":""},{"dropping-particle":"","family":"Pradel","given":"Roger","non-dropping-particle":"","parse-names":false,"suffix":""}],"container-title":"Ecological Modelling","id":"ITEM-1","issue":"3-4","issued":{"date-parts":[["2007"]]},"page":"431-438","title":"State-space modelling of data on marked individuals","type":"article-journal","volume":"206"},"uris":["http://www.mendeley.com/documents/?uuid=8eace91f-12d4-4cdf-9a57-7171cda4b59b","http://www.mendeley.com/documents/?uuid=a33817f1-5b3c-4ae3-9e5e-2a5f7f4aa094"]}],"mendeley":{"formattedCitation":"(Gimenez et al., 2007)","plainTextFormattedCitation":"(Gimenez et al., 2007)","previouslyFormattedCitation":"(Gimenez et al., 2007)"},"properties":{"noteIndex":0},"schema":"https://github.com/citation-style-language/schema/raw/master/csl-citation.json"}</w:instrText>
      </w:r>
      <w:r>
        <w:rPr>
          <w:bCs/>
          <w:lang w:val="en-GB"/>
        </w:rPr>
        <w:fldChar w:fldCharType="separate"/>
      </w:r>
      <w:r>
        <w:rPr>
          <w:bCs/>
          <w:noProof/>
          <w:lang w:val="en-GB"/>
        </w:rPr>
        <w:t>(Gimenez et al., 2007)</w:t>
      </w:r>
      <w:r>
        <w:rPr>
          <w:bCs/>
          <w:lang w:val="en-GB"/>
        </w:rPr>
        <w:fldChar w:fldCharType="end"/>
      </w:r>
      <w:r>
        <w:rPr>
          <w:bCs/>
          <w:lang w:val="en-GB"/>
        </w:rPr>
        <w:t xml:space="preserve">. </w:t>
      </w:r>
      <w:r>
        <w:rPr>
          <w:lang w:val="en-GB"/>
        </w:rPr>
        <w:t>Despite the availability of these tools, our results show that generally across all included fields, it is not standard practice to employ them. Wide scale implementation of such methods has been hindered by lack of knowledge of their practical applications, insufficient availability of data, no rules of thumb for when errors will influence results in many cases, and not including such considerations in standard statistical teaching. For response variables specifically, as mentioned in the introduction, many standard statistical models already adequately account for this uncertainty provided uncertainty in the response follows a normal distribution. This results in little reporting of uncertainty in the response for statistical models, which largely is not an omission. We would go so far as to not recommend any extra consideration for uncertainty in the response in these cases since it is adequately accounted for by standard practice. However, it is still important to note that it is not always the case that these assumptions are met. In some situations, further consideration and explicit quantification may be required and yet omitted as it is not standard practice to consider uncertainty in the response when checking for deviations from the assumptions of the model.</w:t>
      </w:r>
    </w:p>
    <w:p w14:paraId="7D56D598" w14:textId="77777777" w:rsidR="00644FDF" w:rsidRDefault="00C732FA">
      <w:pPr>
        <w:rPr>
          <w:lang w:val="en-GB"/>
        </w:rPr>
      </w:pPr>
      <w:r>
        <w:rPr>
          <w:lang w:val="en-GB"/>
        </w:rPr>
        <w:t xml:space="preserve"> </w:t>
      </w:r>
    </w:p>
    <w:p w14:paraId="074D33D0" w14:textId="77777777" w:rsidR="00644FDF" w:rsidRDefault="00C732FA">
      <w:pPr>
        <w:rPr>
          <w:lang w:val="en-GB"/>
        </w:rPr>
      </w:pPr>
      <w:r>
        <w:rPr>
          <w:lang w:val="en-GB"/>
        </w:rPr>
        <w:t xml:space="preserve">We suggest a single solution to all three barriers to our consideration of uncertainty in input data. We call for further theoretical or simulation work exploring the impact of unquantified uncertainty in observed data in different contexts, especially when repeat data collection is challenging/impossible. This work should be coupled with better communication of the methods and easy platforms or packages to implement them. This final step would open accessibility to a wider range of scientists even without a formal statistical background.  </w:t>
      </w:r>
    </w:p>
    <w:p w14:paraId="37C97553" w14:textId="77777777" w:rsidR="00644FDF" w:rsidRDefault="00C732FA">
      <w:pPr>
        <w:rPr>
          <w:sz w:val="24"/>
          <w:szCs w:val="24"/>
          <w:lang w:val="en-GB"/>
        </w:rPr>
      </w:pPr>
      <w:r>
        <w:rPr>
          <w:sz w:val="24"/>
          <w:szCs w:val="24"/>
          <w:lang w:val="en-GB"/>
        </w:rPr>
        <w:t xml:space="preserve"> </w:t>
      </w:r>
    </w:p>
    <w:p w14:paraId="46A6C4EC" w14:textId="77777777" w:rsidR="00644FDF" w:rsidRDefault="00C732FA">
      <w:pPr>
        <w:rPr>
          <w:lang w:val="en-GB"/>
        </w:rPr>
      </w:pPr>
      <w:r>
        <w:rPr>
          <w:b/>
          <w:sz w:val="24"/>
          <w:szCs w:val="24"/>
          <w:lang w:val="en-GB"/>
        </w:rPr>
        <w:t xml:space="preserve">Model complexity/logistics (including machine learning and artificial intelligence). </w:t>
      </w:r>
      <w:r>
        <w:rPr>
          <w:lang w:val="en-GB"/>
        </w:rPr>
        <w:t xml:space="preserve">Increased computing power, improvements in data collection technologies, and developments of machine learning and artificial intelligence (AI) have allowed us to develop more complex statistical models of hard to study systems and automatic algorithms to fit them. However, with these increases in complexity come trade-offs in terms of quantification of model-related uncertainty and in interpretability, with many of these complex </w:t>
      </w:r>
      <w:r>
        <w:rPr>
          <w:lang w:val="en-GB"/>
        </w:rPr>
        <w:lastRenderedPageBreak/>
        <w:t xml:space="preserve">models often being treated as a ‘black box’. In parallel, complex models are frequently required in Climate Science and Oceanography to model the highly complex Earth system. Such models are often the only insight we can have into the behaviour of physical systems on earth and are the best we can achieve with current tools. Using these complex models is therefore a crucial step in the progress of science.  </w:t>
      </w:r>
    </w:p>
    <w:p w14:paraId="06DD6E6D" w14:textId="77777777" w:rsidR="00644FDF" w:rsidRDefault="00C732FA">
      <w:pPr>
        <w:rPr>
          <w:lang w:val="en-GB"/>
        </w:rPr>
      </w:pPr>
      <w:r>
        <w:rPr>
          <w:lang w:val="en-GB"/>
        </w:rPr>
        <w:t xml:space="preserve"> </w:t>
      </w:r>
    </w:p>
    <w:p w14:paraId="77E1F328" w14:textId="349EE58A" w:rsidR="00644FDF" w:rsidRDefault="00C732FA">
      <w:pPr>
        <w:rPr>
          <w:lang w:val="en-GB"/>
        </w:rPr>
      </w:pPr>
      <w:r>
        <w:rPr>
          <w:lang w:val="en-GB"/>
        </w:rPr>
        <w:t>However, it can be impossible, due to practical limitations, to quantify uncertainty in all parameters or input data sources for highly complex models</w:t>
      </w:r>
      <w:r w:rsidR="00CD1997">
        <w:rPr>
          <w:lang w:val="en-GB"/>
        </w:rPr>
        <w:t xml:space="preserve"> </w:t>
      </w:r>
      <w:r>
        <w:rPr>
          <w:lang w:val="en-GB"/>
        </w:rPr>
        <w:fldChar w:fldCharType="begin" w:fldLock="1"/>
      </w:r>
      <w:r>
        <w:rPr>
          <w:lang w:val="en-GB"/>
        </w:rPr>
        <w:instrText>ADDIN CSL_CITATION {"citationItems":[{"id":"ITEM-1","itemData":{"DOI":"10.1175/BAMS-86-11-1609","ISSN":"00030007","abstract":"The problem of creating truly convincing numerical simulations of our Earth's climate will remain a challenge for the next generation of climate scientists. Hopefully, the ever increasing power of computers will make this task somewhat less frustrating than it is at present. But, increasing computational power also raises issues as to how we would like to see climate modeling and the study of climate dynamics evolve in the twenty-first century. One of the key issues we will need to address is the widening gap between simulation and understanding.","author":[{"dropping-particle":"","family":"Held","given":"Isaac M.","non-dropping-particle":"","parse-names":false,"suffix":""}],"container-title":"Bulletin of the American Meteorological Society","id":"ITEM-1","issue":"11","issued":{"date-parts":[["2005"]]},"page":"1609-1614","title":"The gap between simulation and understanding in climate modeling","type":"article-journal","volume":"86"},"uris":["http://www.mendeley.com/documents/?uuid=a9f497ea-a6c1-4ac9-b8b9-9c2d68fa6948"]}],"mendeley":{"formattedCitation":"(Held, 2005)","plainTextFormattedCitation":"(Held, 2005)","previouslyFormattedCitation":"(Held, 2005)"},"properties":{"noteIndex":0},"schema":"https://github.com/citation-style-language/schema/raw/master/csl-citation.json"}</w:instrText>
      </w:r>
      <w:r>
        <w:rPr>
          <w:lang w:val="en-GB"/>
        </w:rPr>
        <w:fldChar w:fldCharType="separate"/>
      </w:r>
      <w:r>
        <w:rPr>
          <w:noProof/>
          <w:lang w:val="en-GB"/>
        </w:rPr>
        <w:t>(Held, 2005)</w:t>
      </w:r>
      <w:r>
        <w:rPr>
          <w:lang w:val="en-GB"/>
        </w:rPr>
        <w:fldChar w:fldCharType="end"/>
      </w:r>
      <w:r>
        <w:rPr>
          <w:lang w:val="en-GB"/>
        </w:rPr>
        <w:t>, for instance, the computing resources required to quantify sensitivities for each parameter in a highly complex model could be beyond what is currently achievable. In some cases, attempting to quantify uncertainty in all parameters can actually reduce the accuracy of the model, having the opposite effect to the intention</w:t>
      </w:r>
      <w:r>
        <w:rPr>
          <w:lang w:val="en-GB"/>
        </w:rPr>
        <w:fldChar w:fldCharType="begin" w:fldLock="1"/>
      </w:r>
      <w:r>
        <w:rPr>
          <w:lang w:val="en-GB"/>
        </w:rPr>
        <w:instrText>ADDIN CSL_CITATION {"citationItems":[{"id":"ITEM-1","itemData":{"DOI":"10.1175/BAMS-86-11-1609","ISSN":"00030007","abstract":"The problem of creating truly convincing numerical simulations of our Earth's climate will remain a challenge for the next generation of climate scientists. Hopefully, the ever increasing power of computers will make this task somewhat less frustrating than it is at present. But, increasing computational power also raises issues as to how we would like to see climate modeling and the study of climate dynamics evolve in the twenty-first century. One of the key issues we will need to address is the widening gap between simulation and understanding.","author":[{"dropping-particle":"","family":"Held","given":"Isaac M.","non-dropping-particle":"","parse-names":false,"suffix":""}],"container-title":"Bulletin of the American Meteorological Society","id":"ITEM-1","issue":"11","issued":{"date-parts":[["2005"]]},"page":"1609-1614","title":"The gap between simulation and understanding in climate modeling","type":"article-journal","volume":"86"},"uris":["http://www.mendeley.com/documents/?uuid=a9f497ea-a6c1-4ac9-b8b9-9c2d68fa6948"]}],"mendeley":{"formattedCitation":"(Held, 2005)","plainTextFormattedCitation":"(Held, 2005)","previouslyFormattedCitation":"(Held, 2005)"},"properties":{"noteIndex":0},"schema":"https://github.com/citation-style-language/schema/raw/master/csl-citation.json"}</w:instrText>
      </w:r>
      <w:r>
        <w:rPr>
          <w:lang w:val="en-GB"/>
        </w:rPr>
        <w:fldChar w:fldCharType="separate"/>
      </w:r>
      <w:r>
        <w:rPr>
          <w:noProof/>
          <w:lang w:val="en-GB"/>
        </w:rPr>
        <w:t>(Held, 2005)</w:t>
      </w:r>
      <w:r>
        <w:rPr>
          <w:lang w:val="en-GB"/>
        </w:rPr>
        <w:fldChar w:fldCharType="end"/>
      </w:r>
      <w:r>
        <w:rPr>
          <w:lang w:val="en-GB"/>
        </w:rPr>
        <w:t>. A trade-off can therefore be made in deciding how to play off increased complexity against the assessment of uncertainty. In many cases, being more thorough about uncertainty can mean doing worse in terms of accuracy – for example, increasing model resolution may resolve a new process (</w:t>
      </w:r>
      <w:proofErr w:type="gramStart"/>
      <w:r>
        <w:rPr>
          <w:lang w:val="en-GB"/>
        </w:rPr>
        <w:t>e.g.</w:t>
      </w:r>
      <w:proofErr w:type="gramEnd"/>
      <w:r>
        <w:rPr>
          <w:lang w:val="en-GB"/>
        </w:rPr>
        <w:t xml:space="preserve"> eddies in the ocean) which means the result jumps out of the region where an uncertainty analysis at lower resolution would have bounded the problem, but now falls close to where the real truth lies. Therefore, caution should be exercised when trying to address all sources of uncertainty in complex models and ensure we have the correct tools to achieve this successfully. The trade-off exists between what we can now model and what we can interpret and quantify uncertainty for.</w:t>
      </w:r>
    </w:p>
    <w:p w14:paraId="323A4223" w14:textId="77777777" w:rsidR="00644FDF" w:rsidRDefault="00C732FA">
      <w:pPr>
        <w:rPr>
          <w:lang w:val="en-GB"/>
        </w:rPr>
      </w:pPr>
      <w:r>
        <w:rPr>
          <w:lang w:val="en-GB"/>
        </w:rPr>
        <w:t xml:space="preserve"> </w:t>
      </w:r>
    </w:p>
    <w:p w14:paraId="00081541" w14:textId="77777777" w:rsidR="00644FDF" w:rsidRDefault="00C732FA">
      <w:pPr>
        <w:rPr>
          <w:lang w:val="en-GB"/>
        </w:rPr>
      </w:pPr>
      <w:r>
        <w:rPr>
          <w:lang w:val="en-GB"/>
        </w:rPr>
        <w:t>We suggest two solutions to the trade-off between model complexity and uncertainty quantification. The first is to include a specific uncertainty section of all manuscripts potentially as a designated supplemental information section. This uncertainty section would contain discussion of the limits and assumptions of the models in terms of uncertainty. A dedicated section would also give space to discuss the potential consequences of any unquantified uncertainty, including reductions in accuracy or giving indications of which elements could be expected to change. The second is to call for further research to improve methods for quantifying uncertainty in complex models and model fitting algorithms, ensuring uncertainty quantification keeps pace with model development.</w:t>
      </w:r>
    </w:p>
    <w:p w14:paraId="51241E9A" w14:textId="77777777" w:rsidR="00644FDF" w:rsidRDefault="00C732FA">
      <w:pPr>
        <w:rPr>
          <w:sz w:val="24"/>
          <w:szCs w:val="24"/>
          <w:lang w:val="en-GB"/>
        </w:rPr>
      </w:pPr>
      <w:r>
        <w:rPr>
          <w:sz w:val="24"/>
          <w:szCs w:val="24"/>
          <w:lang w:val="en-GB"/>
        </w:rPr>
        <w:t xml:space="preserve"> </w:t>
      </w:r>
    </w:p>
    <w:p w14:paraId="71B6D86E" w14:textId="77777777" w:rsidR="00644FDF" w:rsidRDefault="00C732FA">
      <w:pPr>
        <w:rPr>
          <w:lang w:val="en-GB"/>
        </w:rPr>
      </w:pPr>
      <w:r>
        <w:rPr>
          <w:b/>
          <w:sz w:val="24"/>
          <w:szCs w:val="24"/>
          <w:lang w:val="en-GB"/>
        </w:rPr>
        <w:t>Propagation/within paper consistency</w:t>
      </w:r>
      <w:bookmarkStart w:id="2" w:name="_Hlk97911936"/>
      <w:r>
        <w:rPr>
          <w:b/>
          <w:sz w:val="24"/>
          <w:szCs w:val="24"/>
          <w:lang w:val="en-GB"/>
        </w:rPr>
        <w:t xml:space="preserve">. </w:t>
      </w:r>
      <w:r>
        <w:rPr>
          <w:lang w:val="en-GB"/>
        </w:rPr>
        <w:t>During our audit, we noted two issues with propagation of model uncertainty. The first was within the models in a paper, where we observed that in some papers with multiple analyses, uncertainty consideration was not consistent across all models. This pattern was especially prominent for papers including multiple analysis types within a single study, a more common occurrence in fields such as Ecology, Evolution, and Neuroscience. The second was in propagation of uncertainty in results into the final discussion and conclusions. Rarely did we find that quantified uncertainty was propagated through into the discussion and conclusion of manuscripts. This pattern was universal across all fields. Even when uncertainty was reported earlier in the manuscript, conclusions still were largely based on point estimates or mean patterns. Uncertainty that was mentioned in the discussion sometimes focused on missing processes or caveats to the conclusions rather than quantified uncertainty. Both of these propagation issues can hinder the interpretation of the uncertainty associated with results.</w:t>
      </w:r>
    </w:p>
    <w:bookmarkEnd w:id="2"/>
    <w:p w14:paraId="0E99DD50" w14:textId="77777777" w:rsidR="00644FDF" w:rsidRDefault="00C732FA">
      <w:pPr>
        <w:rPr>
          <w:lang w:val="en-GB"/>
        </w:rPr>
      </w:pPr>
      <w:r>
        <w:rPr>
          <w:lang w:val="en-GB"/>
        </w:rPr>
        <w:t xml:space="preserve"> </w:t>
      </w:r>
    </w:p>
    <w:p w14:paraId="3FCC0886" w14:textId="77777777" w:rsidR="00644FDF" w:rsidRDefault="00C732FA">
      <w:pPr>
        <w:rPr>
          <w:lang w:val="en-GB"/>
        </w:rPr>
      </w:pPr>
      <w:r>
        <w:rPr>
          <w:lang w:val="en-GB"/>
        </w:rPr>
        <w:t>We propose using our good practice guidelines for different model types to ensure a consistency to uncertainty consideration across all models in papers. Using a source-based framework for these guidelines helps to identify where uncertainty enters the modelling process and therefore improves propagation of uncertainty. We also encourage journals to set an expectation for paper conclusions and discussion to include reference to model-based uncertainty. Currently, there can be trepidation among authors about diluting their conclusions by incorporating uncertainty, especially due to the highly competitive publishing and funding environment and the potential of public influence. Improving acceptance of transparent uncertainty in scientific conclusions would be a way forward to propagation into final results.</w:t>
      </w:r>
    </w:p>
    <w:p w14:paraId="116FDAF1" w14:textId="77777777" w:rsidR="00644FDF" w:rsidRDefault="00644FDF">
      <w:pPr>
        <w:rPr>
          <w:lang w:val="en-GB"/>
        </w:rPr>
      </w:pPr>
    </w:p>
    <w:p w14:paraId="0B2F165D" w14:textId="77777777" w:rsidR="00644FDF" w:rsidRDefault="00C732FA">
      <w:pPr>
        <w:rPr>
          <w:lang w:val="en-GB"/>
        </w:rPr>
      </w:pPr>
      <w:bookmarkStart w:id="3" w:name="_Hlk97911953"/>
      <w:r>
        <w:rPr>
          <w:b/>
          <w:sz w:val="24"/>
          <w:szCs w:val="24"/>
          <w:lang w:val="en-GB"/>
        </w:rPr>
        <w:t xml:space="preserve">Interdisciplinary working. </w:t>
      </w:r>
      <w:r>
        <w:rPr>
          <w:lang w:val="en-GB"/>
        </w:rPr>
        <w:t xml:space="preserve">It is increasingly recognized that an interdisciplinary approach is required to address many of the key questions facing society, including climate change, the biodiversity crisis, and global pandemics. Much of this work revolves around statistical or mathematical modelling, often integrating approaches from multiple disciplines. Quantification of uncertainty is essential for the effective application of this work to societal decision-making, but the lack of a common framework for understanding uncertainty across fields makes it difficult to assess uncertainty in complex multidisciplinary systems </w:t>
      </w:r>
      <w:r>
        <w:rPr>
          <w:lang w:val="en-GB"/>
        </w:rPr>
        <w:fldChar w:fldCharType="begin" w:fldLock="1"/>
      </w:r>
      <w:r>
        <w:rPr>
          <w:lang w:val="en-GB"/>
        </w:rPr>
        <w:instrText>ADDIN CSL_CITATION {"citationItems":[{"id":"ITEM-1","itemData":{"author":[{"dropping-particle":"","family":"Rounsevell","given":"Mark D.A.","non-dropping-particle":"","parse-names":false,"suffix":""},{"dropping-particle":"","family":"Arneth","given":"Almut","non-dropping-particle":"","parse-names":false,"suffix":""},{"dropping-particle":"","family":"Brown","given":"Calum","non-dropping-particle":"","parse-names":false,"suffix":""},{"dropping-particle":"","family":"Cheung","given":"William W.L.","non-dropping-particle":"","parse-names":false,"suffix":""},{"dropping-particle":"","family":"Gimenez","given":"Olivier","non-dropping-particle":"","parse-names":false,"suffix":""},{"dropping-particle":"","family":"Holman","given":"Ian","non-dropping-particle":"","parse-names":false,"suffix":""},{"dropping-particle":"","family":"Leadley","given":"Paul","non-dropping-particle":"","parse-names":false,"suffix":""},{"dropping-particle":"","family":"Luján","given":"Criscely","non-dropping-particle":"","parse-names":false,"suffix":""},{"dropping-particle":"","family":"Mahevas","given":"Stéphanie","non-dropping-particle":"","parse-names":false,"suffix":""},{"dropping-particle":"","family":"Maréchaux","given":"Isabelle","non-dropping-particle":"","parse-names":false,"suffix":""},{"dropping-particle":"","family":"Pélissier","given":"Raphaël","non-dropping-particle":"","parse-names":false,"suffix":""},{"dropping-particle":"","family":"Verburg","given":"Peter H.","non-dropping-particle":"","parse-names":false,"suffix":""},{"dropping-particle":"","family":"Vieilledent","given":"Ghislain","non-dropping-particle":"","parse-names":false,"suffix":""},{"dropping-particle":"","family":"Wintle","given":"Brendan A.","non-dropping-particle":"","parse-names":false,"suffix":""},{"dropping-particle":"","family":"Yunne-Jai Shin","given":"","non-dropping-particle":"","parse-names":false,"suffix":""}],"container-title":"One Earth","id":"ITEM-1","issue":"7","issued":{"date-parts":[["2021"]]},"page":"967-985","title":"Identifying uncertainties in scenarios and models of socio-ecological systems in support of decision-making","type":"article-journal","volume":"4"},"uris":["http://www.mendeley.com/documents/?uuid=4759f70f-5f91-4357-9b01-64fdf80519fe"]}],"mendeley":{"formattedCitation":"(Rounsevell et al., 2021)","plainTextFormattedCitation":"(Rounsevell et al., 2021)","previouslyFormattedCitation":"(Rounsevell et al., 2021)"},"properties":{"noteIndex":0},"schema":"https://github.com/citation-style-language/schema/raw/master/csl-citation.json"}</w:instrText>
      </w:r>
      <w:r>
        <w:rPr>
          <w:lang w:val="en-GB"/>
        </w:rPr>
        <w:fldChar w:fldCharType="separate"/>
      </w:r>
      <w:r>
        <w:rPr>
          <w:noProof/>
          <w:lang w:val="en-GB"/>
        </w:rPr>
        <w:t>(Rounsevell et al., 2021)</w:t>
      </w:r>
      <w:r>
        <w:rPr>
          <w:lang w:val="en-GB"/>
        </w:rPr>
        <w:fldChar w:fldCharType="end"/>
      </w:r>
      <w:r>
        <w:rPr>
          <w:lang w:val="en-GB"/>
        </w:rPr>
        <w:t xml:space="preserve">.  We propose that our push for greater consistency in the quantification of uncertainty across fields will facilitate better reporting of uncertainty in interdisciplinary work, which we expect will aid interpretation and application by multiple audiences. </w:t>
      </w:r>
    </w:p>
    <w:bookmarkEnd w:id="3"/>
    <w:p w14:paraId="287993DA" w14:textId="77777777" w:rsidR="00644FDF" w:rsidRDefault="00C732FA">
      <w:pPr>
        <w:rPr>
          <w:sz w:val="24"/>
          <w:szCs w:val="24"/>
          <w:lang w:val="en-GB"/>
        </w:rPr>
      </w:pPr>
      <w:r>
        <w:rPr>
          <w:sz w:val="24"/>
          <w:szCs w:val="24"/>
          <w:lang w:val="en-GB"/>
        </w:rPr>
        <w:t xml:space="preserve"> </w:t>
      </w:r>
    </w:p>
    <w:p w14:paraId="5B29D029" w14:textId="65ED7076" w:rsidR="00644FDF" w:rsidRDefault="00C732FA">
      <w:pPr>
        <w:rPr>
          <w:lang w:val="en-GB"/>
        </w:rPr>
      </w:pPr>
      <w:r>
        <w:rPr>
          <w:b/>
          <w:sz w:val="24"/>
          <w:szCs w:val="24"/>
          <w:lang w:val="en-GB"/>
        </w:rPr>
        <w:t>How much uncertainty consideration is enough?</w:t>
      </w:r>
      <w:r>
        <w:rPr>
          <w:sz w:val="24"/>
          <w:szCs w:val="24"/>
          <w:lang w:val="en-GB"/>
        </w:rPr>
        <w:t xml:space="preserve"> </w:t>
      </w:r>
      <w:bookmarkStart w:id="4" w:name="_Hlk97911971"/>
      <w:r>
        <w:rPr>
          <w:lang w:val="en-GB"/>
        </w:rPr>
        <w:t>It is not possible to account for all possible uncertainty in our studies</w:t>
      </w:r>
      <w:r w:rsidR="00CD1997">
        <w:rPr>
          <w:lang w:val="en-GB"/>
        </w:rPr>
        <w:t xml:space="preserve"> </w:t>
      </w:r>
      <w:r>
        <w:rPr>
          <w:lang w:val="en-GB"/>
        </w:rPr>
        <w:fldChar w:fldCharType="begin" w:fldLock="1"/>
      </w:r>
      <w:r>
        <w:rPr>
          <w:lang w:val="en-GB"/>
        </w:rPr>
        <w:instrText>ADDIN CSL_CITATION {"citationItems":[{"id":"ITEM-1","itemData":{"DOI":"10.1111/1365-2664.12887","ISSN":"13652664","abstract":"Applied ecologists often face uncertainty that hinders effective decision-making. Common traps that may catch the unwary are: ignoring uncertainty, acknowledging uncertainty but ploughing on, focussing on trivial uncertainties, believing your models, and unclear objectives. We integrate research insights and examples from a wide range of applied ecological fields to illustrate advances that are generally underused, but could facilitate ecologists’ ability to plan and execute research to support management. Recommended approaches to avoid uncertainty traps are: embracing models, using decision theory, using models more effectively, thinking experimentally, and being realistic about uncertainty. Synthesis and applications. Applied ecologists can become more effective at informing management by using approaches that explicitly take account of uncertainty.","author":[{"dropping-particle":"","family":"Milner-Gulland","given":"E. J.","non-dropping-particle":"","parse-names":false,"suffix":""},{"dropping-particle":"","family":"Shea","given":"Katriona","non-dropping-particle":"","parse-names":false,"suffix":""}],"container-title":"Journal of Applied Ecology","id":"ITEM-1","issue":"6","issued":{"date-parts":[["2017"]]},"page":"2063-2068","title":"Embracing uncertainty in applied ecology","type":"article-journal","volume":"54"},"uris":["http://www.mendeley.com/documents/?uuid=ed050f31-6b85-4385-8ba4-d3235a89cddf"]}],"mendeley":{"formattedCitation":"(Milner-Gulland and Shea, 2017)","plainTextFormattedCitation":"(Milner-Gulland and Shea, 2017)","previouslyFormattedCitation":"(Milner-Gulland and Shea, 2017)"},"properties":{"noteIndex":0},"schema":"https://github.com/citation-style-language/schema/raw/master/csl-citation.json"}</w:instrText>
      </w:r>
      <w:r>
        <w:rPr>
          <w:lang w:val="en-GB"/>
        </w:rPr>
        <w:fldChar w:fldCharType="separate"/>
      </w:r>
      <w:r>
        <w:rPr>
          <w:noProof/>
          <w:lang w:val="en-GB"/>
        </w:rPr>
        <w:t>(Milner-Gulland and Shea, 2017)</w:t>
      </w:r>
      <w:r>
        <w:rPr>
          <w:lang w:val="en-GB"/>
        </w:rPr>
        <w:fldChar w:fldCharType="end"/>
      </w:r>
      <w:r>
        <w:rPr>
          <w:lang w:val="en-GB"/>
        </w:rPr>
        <w:t xml:space="preserve">, there will always be unknown unknowns that remain and known sources that for practical and well considered reasons cannot be addressed in a given study. However, we do need to ensure that we make best efforts to represent as much of the uncertainty related to our results as we can and in the correct way. How we can achieve accurate uncertainty representation without over complicating or diluting results, remains an open question. In relation to the framework we present, we need to ask: are there times when explicit quantification of all sources is actually not enough? Model-based uncertainty is not the only uncertainty associated with scientific work. </w:t>
      </w:r>
      <w:bookmarkEnd w:id="4"/>
    </w:p>
    <w:p w14:paraId="6E23970C" w14:textId="77777777" w:rsidR="00644FDF" w:rsidRDefault="00C732FA">
      <w:pPr>
        <w:rPr>
          <w:lang w:val="en-GB"/>
        </w:rPr>
      </w:pPr>
      <w:r>
        <w:rPr>
          <w:lang w:val="en-GB"/>
        </w:rPr>
        <w:t xml:space="preserve"> </w:t>
      </w:r>
    </w:p>
    <w:p w14:paraId="6666A59D" w14:textId="77777777" w:rsidR="00644FDF" w:rsidRDefault="00C732FA">
      <w:pPr>
        <w:rPr>
          <w:lang w:val="en-GB"/>
        </w:rPr>
      </w:pPr>
      <w:r>
        <w:rPr>
          <w:lang w:val="en-GB"/>
        </w:rPr>
        <w:t>How much is enough will be case-specific and nuanced. It does not only depend on the type of model used but also the aims and focus of the work, for example a regression model of heart rate (response) as a function of age (explanatory) where the authors do not care about the distinction between ‘true’ and ‘observed’ heart rate would not require explicit quantification of uncertainty in the response. In this example, the main focus of the paper is on the relationship between age and heart rate (either observed or true) there is a strong need to be very sure of relationship and the uncertainty in that parameter and this need is satisfied because uncertainty from the response is accounted for in the estimation of the parameter and its uncertainty. In contrast, there could be a case where authors want to make conclusions specifically for the ‘true’ value not the ‘observation’ and make predictions for it; for example, if managing a population of endangered animals. Here it is essential to explicitly know how the observed counts map to true population values, therefore requiring explicit quantification of uncertainty in the response. It can be exceptionally challenging to tease apart these nuances from published papers because it is not always explicit how the authors view each model component or how generalisable they intend their work to be. Furthermore, the limits and assumptions of models used are frequently not discussed in sufficient detail.</w:t>
      </w:r>
    </w:p>
    <w:p w14:paraId="0AEC546D" w14:textId="77777777" w:rsidR="00644FDF" w:rsidRDefault="00C732FA">
      <w:pPr>
        <w:rPr>
          <w:lang w:val="en-GB"/>
        </w:rPr>
      </w:pPr>
      <w:r>
        <w:rPr>
          <w:lang w:val="en-GB"/>
        </w:rPr>
        <w:t xml:space="preserve"> </w:t>
      </w:r>
    </w:p>
    <w:p w14:paraId="276F8BA7" w14:textId="77777777" w:rsidR="00644FDF" w:rsidRDefault="00C732FA">
      <w:pPr>
        <w:rPr>
          <w:lang w:val="en-GB"/>
        </w:rPr>
      </w:pPr>
      <w:r>
        <w:rPr>
          <w:lang w:val="en-GB"/>
        </w:rPr>
        <w:t>We propose a solution to illuminate the aims and scope of different model-based analyses and encourage authors to discuss all uncertainty in their work, even those elements that are not quantified. This would be achieved by having a specific uncertainty section of all manuscripts, as also suggested to aid uncertainty reporting for complex models. This section could include specific author statements on which sources of uncertainty have been quantified and why, which elements are missing and what their impact might be, as well as the intended scope of the work and any limitations. This would help readers to appreciate the full uncertainty associated with the work and aid in correct reuse, replication, or citing of any results.</w:t>
      </w:r>
    </w:p>
    <w:p w14:paraId="7D4D4607" w14:textId="77777777" w:rsidR="00644FDF" w:rsidRDefault="00C732FA">
      <w:pPr>
        <w:rPr>
          <w:lang w:val="en-GB"/>
        </w:rPr>
      </w:pPr>
      <w:r>
        <w:rPr>
          <w:lang w:val="en-GB"/>
        </w:rPr>
        <w:t xml:space="preserve"> </w:t>
      </w:r>
    </w:p>
    <w:p w14:paraId="2D2C05DB" w14:textId="3A3C54E3" w:rsidR="009C289F" w:rsidRDefault="00C732FA" w:rsidP="00CF7A02">
      <w:pPr>
        <w:rPr>
          <w:color w:val="9900FF"/>
        </w:rPr>
      </w:pPr>
      <w:r>
        <w:rPr>
          <w:lang w:val="en-GB"/>
        </w:rPr>
        <w:t xml:space="preserve">Some fears exist in the academic community about being explicit about uncertainty in our work, assuming that public or policy audiences might lose trust in results. Indeed, in </w:t>
      </w:r>
      <w:r w:rsidRPr="00884280">
        <w:rPr>
          <w:color w:val="000000" w:themeColor="text1"/>
          <w:lang w:val="en-GB"/>
        </w:rPr>
        <w:t>some situations communicating uncertainty can influence public perceptions negatively due to ambiguity aversion, such as with vaccine effectiveness</w:t>
      </w:r>
      <w:r w:rsidR="00CD1997" w:rsidRPr="00884280">
        <w:rPr>
          <w:color w:val="000000" w:themeColor="text1"/>
          <w:lang w:val="en-GB"/>
        </w:rPr>
        <w:t xml:space="preserve"> </w:t>
      </w:r>
      <w:r w:rsidRPr="00884280">
        <w:rPr>
          <w:color w:val="000000" w:themeColor="text1"/>
          <w:lang w:val="en-GB"/>
        </w:rPr>
        <w:fldChar w:fldCharType="begin" w:fldLock="1"/>
      </w:r>
      <w:r w:rsidRPr="00884280">
        <w:rPr>
          <w:color w:val="000000" w:themeColor="text1"/>
          <w:lang w:val="en-GB"/>
        </w:rPr>
        <w:instrText>ADDIN CSL_CITATION {"citationItems":[{"id":"ITEM-1","itemData":{"DOI":"10.1080/10810730.2018.1461961","ISSN":"10870415","PMID":"29648962","abstract":"Communicating scientific uncertainty about public health threats is ethically desirable but challenging due to its tendency to promote avoidance of choice options with unknown probabilities—a phenomenon known as “ambiguity aversion.” This study examined this phenomenon’s potential magnitude, its responses to different communication strategies, and its mechanisms. In a factorial experiment, 2701 adult laypersons in Spain read one of three versions of a hypothetical newspaper article describing a pandemic vaccine-preventable disease (VPD), but varying in scientific uncertainty about VPD risk and vaccine effectiveness: No-Uncertainty, Uncertainty, and Normalized-Uncertainty (emphasizing its expected nature). Vaccination intentions were lower for the Uncertainty and Normalized-Uncertainty groups compared to the No-Uncertainty group, consistent with ambiguity aversion; Uncertainty and Normalized-Uncertainty groups did not differ. Ambiguity-averse responses were moderated by health literacy and mediated by perceptions of vaccine effectiveness, VPD likelihood, and VPD severity. Communicating scientific uncertainty about public health threats warrants caution and further research to elucidate its outcomes, mechanisms, and management.","author":[{"dropping-particle":"","family":"Han","given":"Paul K.J.","non-dropping-particle":"","parse-names":false,"suffix":""},{"dropping-particle":"","family":"Zikmund-Fisher","given":"Brian J.","non-dropping-particle":"","parse-names":false,"suffix":""},{"dropping-particle":"","family":"Duarte","given":"Christine W.","non-dropping-particle":"","parse-names":false,"suffix":""},{"dropping-particle":"","family":"Knaus","given":"Megan","non-dropping-particle":"","parse-names":false,"suffix":""},{"dropping-particle":"","family":"Black","given":"Adam","non-dropping-particle":"","parse-names":false,"suffix":""},{"dropping-particle":"","family":"Scherer","given":"Aaron M.","non-dropping-particle":"","parse-names":false,"suffix":""},{"dropping-particle":"","family":"Fagerlin","given":"Angela","non-dropping-particle":"","parse-names":false,"suffix":""}],"container-title":"Journal of Health Communication","id":"ITEM-1","issue":"5","issued":{"date-parts":[["2018"]]},"page":"435-444","publisher":"Routledge","title":"Communication of Scientific Uncertainty about a Novel Pandemic Health Threat: Ambiguity Aversion and Its Mechanisms","type":"article-journal","volume":"23"},"uris":["http://www.mendeley.com/documents/?uuid=da4c49b0-d09b-4e0a-8e2c-a555072c0e65","http://www.mendeley.com/documents/?uuid=e92e288c-164a-4d25-a8d7-05a0ddcce9bd"]}],"mendeley":{"formattedCitation":"(Han et al., 2018b)","plainTextFormattedCitation":"(Han et al., 2018b)","previouslyFormattedCitation":"(Han et al., 2018b)"},"properties":{"noteIndex":0},"schema":"https://github.com/citation-style-language/schema/raw/master/csl-citation.json"}</w:instrText>
      </w:r>
      <w:r w:rsidRPr="00884280">
        <w:rPr>
          <w:color w:val="000000" w:themeColor="text1"/>
          <w:lang w:val="en-GB"/>
        </w:rPr>
        <w:fldChar w:fldCharType="separate"/>
      </w:r>
      <w:r w:rsidRPr="00884280">
        <w:rPr>
          <w:noProof/>
          <w:color w:val="000000" w:themeColor="text1"/>
          <w:lang w:val="en-GB"/>
        </w:rPr>
        <w:t>(Han et al., 2018b)</w:t>
      </w:r>
      <w:r w:rsidRPr="00884280">
        <w:rPr>
          <w:color w:val="000000" w:themeColor="text1"/>
          <w:lang w:val="en-GB"/>
        </w:rPr>
        <w:fldChar w:fldCharType="end"/>
      </w:r>
      <w:r w:rsidRPr="00884280">
        <w:rPr>
          <w:color w:val="000000" w:themeColor="text1"/>
          <w:lang w:val="en-GB"/>
        </w:rPr>
        <w:t xml:space="preserve">. However, there have also been several findings indicating </w:t>
      </w:r>
      <w:r w:rsidR="009C289F" w:rsidRPr="00884280">
        <w:rPr>
          <w:color w:val="000000" w:themeColor="text1"/>
        </w:rPr>
        <w:t>users of official statistics and members of the public can engage well with model-related uncertainty</w:t>
      </w:r>
      <w:r w:rsidR="00CD1997" w:rsidRPr="00884280">
        <w:rPr>
          <w:color w:val="000000" w:themeColor="text1"/>
          <w:lang w:val="en-GB"/>
        </w:rPr>
        <w:t xml:space="preserve"> </w:t>
      </w:r>
      <w:r w:rsidRPr="00884280">
        <w:rPr>
          <w:color w:val="000000" w:themeColor="text1"/>
          <w:lang w:val="en-GB"/>
        </w:rPr>
        <w:fldChar w:fldCharType="begin" w:fldLock="1"/>
      </w:r>
      <w:r w:rsidRPr="00884280">
        <w:rPr>
          <w:color w:val="000000" w:themeColor="text1"/>
          <w:lang w:val="en-GB"/>
        </w:rPr>
        <w:instrText>ADDIN CSL_CITATION {"citationItems":[{"id":"ITEM-1","itemData":{"DOI":"10.1098/rsos.181870","ISBN":"0000000241151","ISSN":"20545703","abstract":"Uncertainty is an inherent part of knowledge, and yet in an era of contested expertise, many shy away from openly communicating their uncertainty about what they know, fearful of their audience's reaction. But what effect does communication of such epistemic uncertainty have? Empirical research is widely scattered across many disciplines. This interdisciplinary review structures and summarizes current practice and research across domains, combining a statistical and psychological perspective. This informs a framework for uncertainty communication in which we identify three objects of uncertainty-facts, numbers and science-and two levels of uncertainty: direct and indirect. An examination of current practices provides a scale of nine expressions of direct uncertainty. We discuss attempts to codify indirect uncertainty in terms of quality of the underlying evidence. We review the limited literature about the effects of communicating epistemic uncertainty on cognition, affect, trust and decision-making. While there is some evidence that communicating epistemic uncertainty does not necessarily affect audiences negatively, impact can vary between individuals and communication formats. Case studies in economic statistics and climate change illustrate our framework in action. We conclude with advice to guide both communicators and future researchers in this important but so far rather neglected field.","author":[{"dropping-particle":"","family":"Bles","given":"Anne Marthe","non-dropping-particle":"Van Der","parse-names":false,"suffix":""},{"dropping-particle":"","family":"Linden","given":"Sander","non-dropping-particle":"Van Der","parse-names":false,"suffix":""},{"dropping-particle":"","family":"Freeman","given":"Alexandra L.J.","non-dropping-particle":"","parse-names":false,"suffix":""},{"dropping-particle":"","family":"Mitchell","given":"James","non-dropping-particle":"","parse-names":false,"suffix":""},{"dropping-particle":"","family":"Galvao","given":"Ana B.","non-dropping-particle":"","parse-names":false,"suffix":""},{"dropping-particle":"","family":"Zaval","given":"Lisa","non-dropping-particle":"","parse-names":false,"suffix":""},{"dropping-particle":"","family":"Spiegelhalter","given":"David J.","non-dropping-particle":"","parse-names":false,"suffix":""}],"container-title":"Royal Society Open Science","id":"ITEM-1","issue":"5","issued":{"date-parts":[["2019"]]},"page":"181870","title":"Communicating uncertainty about facts, numbers and science","type":"article-journal","volume":"6"},"uris":["http://www.mendeley.com/documents/?uuid=df6f606f-8c64-4e24-8c99-e9b2e65b4fd5"]}],"mendeley":{"formattedCitation":"(Van Der Bles et al., 2019)","plainTextFormattedCitation":"(Van Der Bles et al., 2019)","previouslyFormattedCitation":"(Van Der Bles et al., 2019)"},"properties":{"noteIndex":0},"schema":"https://github.com/citation-style-language/schema/raw/master/csl-citation.json"}</w:instrText>
      </w:r>
      <w:r w:rsidRPr="00884280">
        <w:rPr>
          <w:color w:val="000000" w:themeColor="text1"/>
          <w:lang w:val="en-GB"/>
        </w:rPr>
        <w:fldChar w:fldCharType="separate"/>
      </w:r>
      <w:r w:rsidRPr="00884280">
        <w:rPr>
          <w:noProof/>
          <w:color w:val="000000" w:themeColor="text1"/>
          <w:lang w:val="en-GB"/>
        </w:rPr>
        <w:t xml:space="preserve">(Van Der Bles et al., </w:t>
      </w:r>
      <w:r w:rsidRPr="00884280">
        <w:rPr>
          <w:noProof/>
          <w:color w:val="000000" w:themeColor="text1"/>
          <w:lang w:val="en-GB"/>
        </w:rPr>
        <w:lastRenderedPageBreak/>
        <w:t>2019)</w:t>
      </w:r>
      <w:r w:rsidRPr="00884280">
        <w:rPr>
          <w:color w:val="000000" w:themeColor="text1"/>
          <w:lang w:val="en-GB"/>
        </w:rPr>
        <w:fldChar w:fldCharType="end"/>
      </w:r>
      <w:r>
        <w:rPr>
          <w:lang w:val="en-GB"/>
        </w:rPr>
        <w:t xml:space="preserve">. Some have even </w:t>
      </w:r>
      <w:r w:rsidR="009C289F">
        <w:rPr>
          <w:lang w:val="en-GB"/>
        </w:rPr>
        <w:t>demonstrated</w:t>
      </w:r>
      <w:r>
        <w:rPr>
          <w:lang w:val="en-GB"/>
        </w:rPr>
        <w:t xml:space="preserve"> that a lack of transparency around uncertainty can erode public trust</w:t>
      </w:r>
      <w:r w:rsidR="0031428A">
        <w:rPr>
          <w:lang w:val="en-GB"/>
        </w:rPr>
        <w:t xml:space="preserve"> </w:t>
      </w:r>
      <w:r w:rsidRPr="001A5DAF">
        <w:rPr>
          <w:color w:val="000000" w:themeColor="text1"/>
          <w:lang w:val="en-GB"/>
        </w:rPr>
        <w:fldChar w:fldCharType="begin" w:fldLock="1"/>
      </w:r>
      <w:r w:rsidRPr="001A5DAF">
        <w:rPr>
          <w:color w:val="000000" w:themeColor="text1"/>
          <w:lang w:val="en-GB"/>
        </w:rPr>
        <w:instrText>ADDIN CSL_CITATION {"citationItems":[{"id":"ITEM-1","itemData":{"DOI":"10.1111/icad.12468","ISSN":"1752-458X","abstract":"at Nature for nine months before a decision was made to not publish the exchange. We now share the comment and response from Seibold et al. 2019 as preprints to further the discussion of how best to model and interpret population and biodiversity change. For Seibold et al.'s reply to our response, please see: Insights from regional and short-term biodiversity monitoring datasets are valuable. A Reply to Daskalova et al. 2020 EcoEvoRxiv doi:10.32942/osf.io/cg3zs https://ecoevorxiv.org/zyhf7 Summary An accumulating number of studies are reporting severe biomass, abundance and/or species richness declines of insects (Hallmann et al., 2017; Lister &amp; Garcia, 2018; Seibold et al., 2019; Sánchez-Bayo &amp; Wyckhuys, 2019). Collectively these studies aim to quantify the net change in invertebrate populations and/or community composition over time and to establish whether such changes can be attributed to anthropogenic drivers (Macgregor, analysed a dataset of arthropod biomass, abundance and species richness from forest and grassland plots in a region of Germany and report significant declines of up to 78% over the time period of 2008 to 2018 (Seibold et al., 2019). However, their analysis did not account for the confounding effects of temporal pseudoreplication of observations from the same years. We show that simply by including a year random effect in the statistical models and thereby accounting for the common conditions experienced by observations from proximal sites in the same years, four of the five reported declines become non-significant out of six tests overall. To place their estimated effect sizes and those of other recent studies of insect declines in a broader geographic context, we analysed invertebrate biomass, abundance and species richness over time from 640 time series from 1167 sites around the world. We found that the average trend across the terrestrial and freshwater realms was not significantly distinguishable from no net change. Shorter time series that are likely to be most affected by sampling error variance-such as those reported in Seibold et al. 2019-yielded the most extreme estimates of decline or increase. We suggest that the uncritical media uptake of extreme negative trends from short time series may be serving to exaggerate the speed of \"insect Armageddon\" and could eventually undermine public","author":[{"dropping-particle":"","family":"Daskalova","given":"Gergana N.","non-dropping-particle":"","parse-names":false,"suffix":""},{"dropping-particle":"","family":"Phillimore","given":"Albert B.","non-dropping-particle":"","parse-names":false,"suffix":""},{"dropping-particle":"","family":"Myers</w:instrText>
      </w:r>
      <w:r w:rsidRPr="001A5DAF">
        <w:rPr>
          <w:rFonts w:ascii="Cambria Math" w:hAnsi="Cambria Math" w:cs="Cambria Math"/>
          <w:color w:val="000000" w:themeColor="text1"/>
          <w:lang w:val="en-GB"/>
        </w:rPr>
        <w:instrText>‐</w:instrText>
      </w:r>
      <w:r w:rsidRPr="001A5DAF">
        <w:rPr>
          <w:color w:val="000000" w:themeColor="text1"/>
          <w:lang w:val="en-GB"/>
        </w:rPr>
        <w:instrText>Smith","given":"Isla H.","non-dropping-particle":"","parse-names":false,"suffix":""}],"container-title":"Insect Conservation and Diversity","id":"ITEM-1","issue":"1","issued":{"date-parts":[["2021"]]},"page":"149-154","title":" Accounting for year effects and sampling error in temporal analyses of invertebrate population and biodiversity change: a comment on Seibold et al . 2019 ","type":"article-journal","volume":"14"},"uris":["http://www.mendeley.com/documents/?uuid=a87c0427-6dd8-453b-9175-409113a86749"]},{"id":"ITEM-2","itemData":{"DOI":"10.1126/sciadv.abd4563","ISSN":"23752548","PMID":"32978142","abstract":"While scientific uncertainty always invites the risk of politicization and raises questions of how to communicate about science, this risk is magnified for COVID-19. The limited data and accelerated research timelines mean that some prominent models or findings inevitably will be overturned or retracted. In this research, we examine the attitudes of more than 6000 Americans across five different survey experiments to understand how the cue giver and cue given about scientific uncertainty regarding COVID-19 affect public trust in science and support for science-based policy. Criticism from Democratic political elites undermines trust more than criticism from Republicans. Emphasizing uncertainty in projections can erode public trust in some contexts. Downplaying uncertainty can raise support in the short term, but reversals in projections may temper these effects or even reduce scientific trust. Careful science communication is critical to maintaining public support for science-based policies as the scientific consensus shifts over time.","author":[{"dropping-particle":"","family":"Kreps","given":"S. E.","non-dropping-particle":"","parse-names":false,"suffix":""},{"dropping-particle":"","family":"Kriner","given":"D. L.","non-dropping-particle":"","parse-names":false,"suffix":""}],"container-title":"Science Advances","id":"ITEM-2","issue":"43","issued":{"date-parts":[["2020"]]},"page":"eabd4563","title":"Model uncertainty, political contestation, and public trust in science: Evidence from the COVID-19 pandemic","type":"article-journal","volume":"6"},"uris":["http://www.mendeley.com/documents/?uuid=60206644-bb4f-4cd5-9224-2c6ff26ae11b"]},{"id":"ITEM-3","itemData":{"DOI":"10.1002/wcc.259","ISSN":"17577799","abstract":"Public opinion polls reveal that the perception of climate change as an uncertain phenomenon is increasing, even as consensus has increased within the scientific community of its reality and its attribution to human causes. At the same time, the scientific community has sought to improve its communication practices, in order to present a more accurate picture to the public and policy makers of the state of scientific knowledge about climate change. In this review article, we examine two sets of insights that could influence the success of such communication efforts. The first set questions which uncertainties matter for effective climate policy. While the literature has focused disproportionately on uncertainties with respect to the climate system, we draw attention here to uncertainties associated with the solution space. The second set examines which factors lead people to take slow and deliberated decisions versus quick and spontaneous ones, and looks at the results of these two systems of thought on climate change action. From the review of these two sets of literature, we propose a new hypothesis: that the gap between public and scientific attitudes toward climate change will narrow not because of greater attention to and communication of climate system risks and uncertainties, but rather out of growing experience with the policies and technological systems needed to address the problem. © 2013 John Wiley &amp; Sons, Ltd.","author":[{"dropping-particle":"","family":"Patt","given":"Anthony G.","non-dropping-particle":"","parse-names":false,"suffix":""},{"dropping-particle":"","family":"Weber","given":"Elke U.","non-dropping-particle":"","parse-names":false,"suffix":""}],"container-title":"Wiley Interdisciplinary Reviews: Climate Change","id":"ITEM-3","issue":"2","issued":{"date-parts":[["2014"]]},"page":"219-232","title":"Perceptions and communication strategies for the many uncertainties relevant for climate policy","type":"article-journal","volume":"5"},"uris":["http://www.mendeley.com/documents/?uuid=ca0328b6-3a72-4967-9b11-71878cf249a9"]},{"id":"ITEM-4","itemData":{"DOI":"10.1177/0272989X21990391","ISSN":"1552681X","abstract":"Mathematical modeling has played a prominent and necessary role in the current coronavirus disease 2019 (COVID-19) pandemic, with an increasing number of models being developed to track and project the spread of the disease, as well as major decisions being made based on the results of these studies. A proliferation of models, often diverging widely in their projections, has been accompanied by criticism of the validity of modeled analyses and uncertainty as to when and to what extent results can be trusted. Drawing on examples from COVID-19 and other infectious diseases of global importance, we review key limitations of mathematical modeling as a tool for interpreting empirical data and informing individual and public decision making. We present several approaches that have been used to strengthen the validity of inferences drawn from these analyses, approaches that will enable better decision making in the current COVID-19 crisis and beyond.","author":[{"dropping-particle":"","family":"James","given":"Lyndon P.","non-dropping-particle":"","parse-names":false,"suffix":""},{"dropping-particle":"","family":"Salomon","given":"Joshua A.","non-dropping-particle":"","parse-names":false,"suffix":""},{"dropping-particle":"","family":"Buckee","given":"Caroline O.","non-dropping-particle":"","parse-names":false,"suffix":""},{"dropping-particle":"","family":"Menzies","given":"Nicolas A.","non-dropping-particle":"","parse-names":false,"suffix":""}],"container-title":"Medical Decision Making","id":"ITEM-4","issue":"4","issued":{"date-parts":[["2021"]]},"page":"379-385","title":"The Use and Misuse of Mathematical Modeling for Infectious Disease Policymaking: Lessons for the COVID-19 Pandemic","type":"article-journal","volume":"41"},"uris":["http://www.mendeley.com/documents/?uuid=445d4df7-d067-4648-aa86-1daba82a4347"]}],"mendeley":{"formattedCitation":"(Daskalova et al., 2021; James et al., 2021; Kreps and Kriner, 2020; Patt and Weber, 2014)","plainTextFormattedCitation":"(Daskalova et al., 2021; James et al., 2021; Kreps and Kriner, 2020; Patt and Weber, 2014)","previouslyFormattedCitation":"(Daskalova et al., 2021; James et al., 2021; Kreps and Kriner, 2020; Patt and Weber, 2014)"},"properties":{"noteIndex":0},"schema":"https://github.com/citation-style-language/schema/raw/master/csl-citation.json"}</w:instrText>
      </w:r>
      <w:r w:rsidRPr="001A5DAF">
        <w:rPr>
          <w:color w:val="000000" w:themeColor="text1"/>
          <w:lang w:val="en-GB"/>
        </w:rPr>
        <w:fldChar w:fldCharType="separate"/>
      </w:r>
      <w:r w:rsidRPr="001A5DAF">
        <w:rPr>
          <w:noProof/>
          <w:color w:val="000000" w:themeColor="text1"/>
          <w:lang w:val="en-GB"/>
        </w:rPr>
        <w:t>(Daskalova et al., 2021; James et al., 2021; Kreps and Kriner, 2020; Patt and Weber, 2014)</w:t>
      </w:r>
      <w:r w:rsidRPr="001A5DAF">
        <w:rPr>
          <w:color w:val="000000" w:themeColor="text1"/>
          <w:lang w:val="en-GB"/>
        </w:rPr>
        <w:fldChar w:fldCharType="end"/>
      </w:r>
      <w:r w:rsidR="009C289F" w:rsidRPr="001A5DAF">
        <w:rPr>
          <w:color w:val="000000" w:themeColor="text1"/>
          <w:lang w:val="nb-NO"/>
        </w:rPr>
        <w:t xml:space="preserve">, </w:t>
      </w:r>
      <w:proofErr w:type="spellStart"/>
      <w:r w:rsidR="009C289F" w:rsidRPr="001A5DAF">
        <w:rPr>
          <w:color w:val="000000" w:themeColor="text1"/>
          <w:lang w:val="nb-NO"/>
        </w:rPr>
        <w:t>while</w:t>
      </w:r>
      <w:proofErr w:type="spellEnd"/>
      <w:r w:rsidR="009C289F" w:rsidRPr="001A5DAF">
        <w:rPr>
          <w:color w:val="000000" w:themeColor="text1"/>
          <w:lang w:val="nb-NO"/>
        </w:rPr>
        <w:t xml:space="preserve"> </w:t>
      </w:r>
      <w:r w:rsidR="009C289F" w:rsidRPr="001A5DAF">
        <w:rPr>
          <w:color w:val="000000" w:themeColor="text1"/>
        </w:rPr>
        <w:t xml:space="preserve">communicating technical uncertainty can have positive effects on credibility </w:t>
      </w:r>
      <w:r w:rsidR="009C289F" w:rsidRPr="001A5DAF">
        <w:rPr>
          <w:color w:val="000000" w:themeColor="text1"/>
        </w:rPr>
        <w:fldChar w:fldCharType="begin" w:fldLock="1"/>
      </w:r>
      <w:r w:rsidR="00CF7A02" w:rsidRPr="001A5DAF">
        <w:rPr>
          <w:color w:val="000000" w:themeColor="text1"/>
        </w:rPr>
        <w:instrText>ADDIN CSL_CITATION {"citationItems":[{"id":"ITEM-1","itemData":{"DOI":"10.1177/0963662520942122","ISSN":"13616609","PMID":"32677865","abstract":"Uncertainty is inherent to science and science communication. However, the evidence appears mixed regarding whether portraying uncertainty in science communication has positive or negative effects. We review a diverse range of experimental literature (k = 48; from 40 searches and 8000 retrievals), summarize the extant findings, and observe how the effects vary across four different types of communicated uncertainty (deficient, technical, scientific, and consensus uncertainty). The results indicate that most findings of negative effects (such as reduced credibility and beliefs) are from experiments that operationalized uncertainty as disagreement or conflict in science (consensus uncertainty). In this review, consensus uncertainty was never found to have positive effects. In contrast, uncertainty in the form of quantified error ranges and probabilities (technical uncertainty) in these studies has had only positive or null effects, not negative effects. We also highlight frequent moderators of the effects of uncertainty, such as prior beliefs and worldviews.","author":[{"dropping-particle":"","family":"Gustafson","given":"Abel","non-dropping-particle":"","parse-names":false,"suffix":""},{"dropping-particle":"","family":"Rice","given":"Ronald E.","non-dropping-particle":"","parse-names":false,"suffix":""}],"container-title":"Public Understanding of Science","id":"ITEM-1","issue":"6","issued":{"date-parts":[["2020"]]},"page":"614-633","title":"A review of the effects of uncertainty in public science communication","type":"article-journal","volume":"29"},"uris":["http://www.mendeley.com/documents/?uuid=b61ae233-819b-4bd9-9e46-2b07b7201b36"]}],"mendeley":{"formattedCitation":"(Gustafson and Rice, 2020)","plainTextFormattedCitation":"(Gustafson and Rice, 2020)","previouslyFormattedCitation":"(Gustafson and Rice, 2020)"},"properties":{"noteIndex":0},"schema":"https://github.com/citation-style-language/schema/raw/master/csl-citation.json"}</w:instrText>
      </w:r>
      <w:r w:rsidR="009C289F" w:rsidRPr="001A5DAF">
        <w:rPr>
          <w:color w:val="000000" w:themeColor="text1"/>
        </w:rPr>
        <w:fldChar w:fldCharType="separate"/>
      </w:r>
      <w:r w:rsidR="009C289F" w:rsidRPr="001A5DAF">
        <w:rPr>
          <w:noProof/>
          <w:color w:val="000000" w:themeColor="text1"/>
        </w:rPr>
        <w:t>(Gustafson and Rice, 2020)</w:t>
      </w:r>
      <w:r w:rsidR="009C289F" w:rsidRPr="001A5DAF">
        <w:rPr>
          <w:color w:val="000000" w:themeColor="text1"/>
        </w:rPr>
        <w:fldChar w:fldCharType="end"/>
      </w:r>
      <w:r w:rsidR="009C289F" w:rsidRPr="001A5DAF">
        <w:rPr>
          <w:color w:val="000000" w:themeColor="text1"/>
        </w:rPr>
        <w:t xml:space="preserve">. </w:t>
      </w:r>
      <w:r w:rsidRPr="001A5DAF">
        <w:rPr>
          <w:color w:val="000000" w:themeColor="text1"/>
          <w:lang w:val="en-GB"/>
        </w:rPr>
        <w:t>Therefore, we should not shy away from reporting uncertainties associated with our work but instead ensure we communicate them as fully and transparently as possible and in an easy to interpret manner.</w:t>
      </w:r>
      <w:r w:rsidR="00CF7A02" w:rsidRPr="001A5DAF">
        <w:rPr>
          <w:color w:val="000000" w:themeColor="text1"/>
          <w:lang w:val="en-GB"/>
        </w:rPr>
        <w:t xml:space="preserve"> </w:t>
      </w:r>
      <w:r w:rsidR="00CF7A02" w:rsidRPr="001A5DAF">
        <w:rPr>
          <w:color w:val="000000" w:themeColor="text1"/>
        </w:rPr>
        <w:t>We will never have full control over how our work will be communicated by the media, read by the public, or used by policy makers. However, to have any chance that the full nuances of our studies are considered, we must provide them.</w:t>
      </w:r>
      <w:r w:rsidR="009C289F" w:rsidRPr="001A5DAF">
        <w:rPr>
          <w:color w:val="000000" w:themeColor="text1"/>
        </w:rPr>
        <w:t xml:space="preserve"> As a result, we must be clear but also careful with how we communicate uncertainties associated with our work. Increasing transparency and consistency</w:t>
      </w:r>
      <w:r w:rsidR="00CF7A02" w:rsidRPr="001A5DAF">
        <w:rPr>
          <w:color w:val="000000" w:themeColor="text1"/>
        </w:rPr>
        <w:t xml:space="preserve"> of our uncertainty reporting</w:t>
      </w:r>
      <w:r w:rsidR="009C289F" w:rsidRPr="001A5DAF">
        <w:rPr>
          <w:color w:val="000000" w:themeColor="text1"/>
        </w:rPr>
        <w:t xml:space="preserve"> could help improve public trust and aid policy maker decisions </w:t>
      </w:r>
      <w:r w:rsidR="00CF7A02" w:rsidRPr="001A5DAF">
        <w:rPr>
          <w:color w:val="000000" w:themeColor="text1"/>
        </w:rPr>
        <w:fldChar w:fldCharType="begin" w:fldLock="1"/>
      </w:r>
      <w:r w:rsidR="003F0400" w:rsidRPr="001A5DAF">
        <w:rPr>
          <w:color w:val="000000" w:themeColor="text1"/>
        </w:rPr>
        <w:instrText>ADDIN CSL_CITATION {"citationItems":[{"id":"ITEM-1","itemData":{"DOI":"10.5220/0005300702250232","ISBN":"9789897580888","abstract":"This paper investigates the effect of presenting uncertainty in bar and line charts in trend-finding and comparison tasks. Different options for presenting uncertainty were investigated in a carefully designed user evaluation that was conducted on statistical analysts, policy makers and journalists (N= 108). The study includes exploring several options for displaying interval estimates with and without point estimates in line and bar charts. We discuss the results for all options and derive presentation suggestions. Our study indicates that showing uncertainty improves the validity of user statements and that data without point estimates have different display needs.","author":[{"dropping-particle":"","family":"Laan","given":"D. Jan","non-dropping-particle":"Van Der","parse-names":false,"suffix":""},{"dropping-particle":"","family":"Jonge","given":"Edwin","non-dropping-particle":"De","parse-names":false,"suffix":""},{"dropping-particle":"","family":"Solcer","given":"Jessica","non-dropping-particle":"","parse-names":false,"suffix":""}],"container-title":"IVAPP 2015 - 6th International Conference on Information Visualization Theory and Applications; VISIGRAPP, Proceedings","id":"ITEM-1","issue":"May","issued":{"date-parts":[["2015"]]},"page":"225-232","title":"Effect of displaying uncertainty in line and bar charts: Presentation and interpretation","type":"paper-conference"},"uris":["http://www.mendeley.com/documents/?uuid=1b68bd95-0d3d-4a31-8b48-19c8348bbf5b"]}],"mendeley":{"formattedCitation":"(Van Der Laan et al., 2015)","plainTextFormattedCitation":"(Van Der Laan et al., 2015)","previouslyFormattedCitation":"(Van Der Laan et al., 2015)"},"properties":{"noteIndex":0},"schema":"https://github.com/citation-style-language/schema/raw/master/csl-citation.json"}</w:instrText>
      </w:r>
      <w:r w:rsidR="00CF7A02" w:rsidRPr="001A5DAF">
        <w:rPr>
          <w:color w:val="000000" w:themeColor="text1"/>
        </w:rPr>
        <w:fldChar w:fldCharType="separate"/>
      </w:r>
      <w:r w:rsidR="00CF7A02" w:rsidRPr="001A5DAF">
        <w:rPr>
          <w:noProof/>
          <w:color w:val="000000" w:themeColor="text1"/>
        </w:rPr>
        <w:t>(Van Der Laan et al., 2015)</w:t>
      </w:r>
      <w:r w:rsidR="00CF7A02" w:rsidRPr="001A5DAF">
        <w:rPr>
          <w:color w:val="000000" w:themeColor="text1"/>
        </w:rPr>
        <w:fldChar w:fldCharType="end"/>
      </w:r>
      <w:r w:rsidR="00CF7A02" w:rsidRPr="001A5DAF">
        <w:rPr>
          <w:color w:val="000000" w:themeColor="text1"/>
        </w:rPr>
        <w:t>.</w:t>
      </w:r>
      <w:r w:rsidR="009C289F" w:rsidRPr="001A5DAF">
        <w:rPr>
          <w:color w:val="000000" w:themeColor="text1"/>
        </w:rPr>
        <w:t xml:space="preserve"> </w:t>
      </w:r>
    </w:p>
    <w:p w14:paraId="2D90E145" w14:textId="77777777" w:rsidR="00644FDF" w:rsidRDefault="00644FDF">
      <w:pPr>
        <w:rPr>
          <w:lang w:val="en-GB"/>
        </w:rPr>
      </w:pPr>
    </w:p>
    <w:p w14:paraId="2A1EE3F1" w14:textId="136DA404" w:rsidR="00644FDF" w:rsidRDefault="00C732FA">
      <w:pPr>
        <w:rPr>
          <w:lang w:val="en-GB"/>
        </w:rPr>
      </w:pPr>
      <w:r>
        <w:rPr>
          <w:lang w:val="en-GB"/>
        </w:rPr>
        <w:t>As mentioned in the introduction, uncertainty can enter the scientific process from a myriad of sources, with model-associated uncertainty being just one. As a result, it would be possible to score perfectly using our proposed source framework, quantifying all sources of model-based uncertainty in some way, but still have results that are subject to large unquantified uncertainties. Furthermore, in our analyses we made no judgement about whether a certain method of quantifying uncertainty was the most appropriate or what impact the quantification had on results; for example, whether results actually became less accurate in the pursuit of better quantified precision. Quality of uncertainty quantification will also be a crucial element in determining whether enough has been done in any given analysis. Simply ticking all boxes is not sufficient, good practice for each must also be followed (see Box 2)</w:t>
      </w:r>
      <w:r w:rsidR="0031428A">
        <w:rPr>
          <w:lang w:val="en-GB"/>
        </w:rPr>
        <w:t xml:space="preserve"> </w:t>
      </w:r>
      <w:r>
        <w:rPr>
          <w:lang w:val="en-GB"/>
        </w:rPr>
        <w:fldChar w:fldCharType="begin" w:fldLock="1"/>
      </w:r>
      <w:r>
        <w:rPr>
          <w:lang w:val="en-GB"/>
        </w:rPr>
        <w:instrText>ADDIN CSL_CITATION {"citationItems":[{"id":"ITEM-1","itemData":{"DOI":"10.1038/s43588-021-00028-9","ISSN":"2662-8457","abstract":"C ovidSim is an individual-based simulation code developed by the MRC Centre for Global Infectious Disease Analysis at Imperial College London. It is a modified version of an earlier model designed to support pandemic influenza planning 1 and has now been used to explore various non-pharmaceutical interventions (NPIs) with the aim of reducing the transmission of the coronavi-rus, as documented in the key paper 2 denoted Report 9. CovidSim played an important role in the United Kingdom in reorienting UK Government policy from herd immunity to a strategy focused on suppression of the viral infection. It should be noted, however, that many competitor models exist. Notable examples include the work performed at the London School of Hygiene and Tropical Medicine (see, for instance, refs. 3,4 and especially ref. 5), in which the effects of different NPIs in the UK are modelled. Another noteworthy model is CovaSim 6 , which is similar in structure to CovidSim in the sense that it models a population of individuals via discrete agents. Likewise, CovidSim creates a network of individuals located in areas defined by high-resolution population density data. In the model, contacts with other individuals can be made in four different types of place, namely, within households, at schools, universities and work places. It is possible to model a combination of different NPIs, namely, general social distancing (SD), social distancing for those over 70 years of age (SDOL70), home isolation of suspected cases (CI), voluntary home quarantine (HQ) and place closure of universities and schools (PC) (see Table 2 of ref. 2). CovidSim contains over 900 input parameters, which are mainly located in two input files. Furthermore, a small number of parameters that define certain characteristics of the intervention scenario one wishes to study are supplied via the command line. We investigated the reproducibility of the code, as has been done in past work 7,8. That said, we especially focus on CovidSim's robust-ness to uncertainty in the input parameters. By robustness in this context, we mean the extent to which the code amplifies uncertainties from the input to the output. Our main aim is to thus take the model as given and examine the uncertainty in its predictions when its parameters are treated as random variables instead of determin-istic inputs. We will use a dimension-adaptive sampling method for this purpose 9 to be able to handle the high-dimensional input space. This type…","author":[{"dropping-particle":"","family":"Edeling","given":"Wouter","non-dropping-particle":"","parse-names":false,"suffix":""},{"dropping-particle":"","family":"Arabnejad","given":"Hamid","non-dropping-particle":"","parse-names":false,"suffix":""},{"dropping-particle":"","family":"Sinclair","given":"Robbie","non-dropping-particle":"","parse-names":false,"suffix":""},{"dropping-particle":"","family":"Suleimenova","given":"Diana","non-dropping-particle":"","parse-names":false,"suffix":""},{"dropping-particle":"","family":"Gopalakrishnan","given":"Krishnakumar","non-dropping-particle":"","parse-names":false,"suffix":""},{"dropping-particle":"","family":"Bosak","given":"Bartosz","non-dropping-particle":"","parse-names":false,"suffix":""},{"dropping-particle":"","family":"Groen","given":"Derek","non-dropping-particle":"","parse-names":false,"suffix":""},{"dropping-particle":"","family":"Mahmood","given":"Imran","non-dropping-particle":"","parse-names":false,"suffix":""},{"dropping-particle":"","family":"Crommelin","given":"Daan","non-dropping-particle":"","parse-names":false,"suffix":""},{"dropping-particle":"V.","family":"Coveney","given":"Peter","non-dropping-particle":"","parse-names":false,"suffix":""}],"container-title":"Nature Computational Science","id":"ITEM-1","issue":"2","issued":{"date-parts":[["2021"]]},"page":"128-135","publisher":"Springer US","title":"The impact of uncertainty on predictions of the CovidSim epidemiological code","type":"article-journal","volume":"1"},"uris":["http://www.mendeley.com/documents/?uuid=ef2cdc78-d320-450b-b1b0-a58d13b04ae4"]}],"mendeley":{"formattedCitation":"(Edeling et al., 2021)","plainTextFormattedCitation":"(Edeling et al., 2021)","previouslyFormattedCitation":"(Edeling et al., 2021)"},"properties":{"noteIndex":0},"schema":"https://github.com/citation-style-language/schema/raw/master/csl-citation.json"}</w:instrText>
      </w:r>
      <w:r>
        <w:rPr>
          <w:lang w:val="en-GB"/>
        </w:rPr>
        <w:fldChar w:fldCharType="separate"/>
      </w:r>
      <w:r>
        <w:rPr>
          <w:noProof/>
          <w:lang w:val="en-GB"/>
        </w:rPr>
        <w:t>(Edeling et al., 2021)</w:t>
      </w:r>
      <w:r>
        <w:rPr>
          <w:lang w:val="en-GB"/>
        </w:rPr>
        <w:fldChar w:fldCharType="end"/>
      </w:r>
      <w:r>
        <w:rPr>
          <w:lang w:val="en-GB"/>
        </w:rPr>
        <w:t>.</w:t>
      </w:r>
    </w:p>
    <w:p w14:paraId="7E1B6026" w14:textId="77777777" w:rsidR="00644FDF" w:rsidRDefault="00644FDF">
      <w:pPr>
        <w:rPr>
          <w:lang w:val="en-GB"/>
        </w:rPr>
      </w:pPr>
    </w:p>
    <w:p w14:paraId="7B449C92" w14:textId="77777777" w:rsidR="00644FDF" w:rsidRDefault="00C732FA">
      <w:pPr>
        <w:rPr>
          <w:lang w:val="en-GB"/>
        </w:rPr>
      </w:pPr>
      <w:bookmarkStart w:id="5" w:name="_Hlk97911128"/>
      <w:r>
        <w:rPr>
          <w:b/>
          <w:sz w:val="28"/>
          <w:szCs w:val="28"/>
          <w:lang w:val="en-GB"/>
        </w:rPr>
        <w:t>Recommended ways forward</w:t>
      </w:r>
    </w:p>
    <w:p w14:paraId="1237762B" w14:textId="77777777" w:rsidR="00644FDF" w:rsidRDefault="00644FDF">
      <w:pPr>
        <w:rPr>
          <w:lang w:val="en-GB"/>
        </w:rPr>
      </w:pPr>
    </w:p>
    <w:p w14:paraId="74BCFD1A" w14:textId="77777777" w:rsidR="00644FDF" w:rsidRDefault="00C732FA">
      <w:pPr>
        <w:rPr>
          <w:lang w:val="en-GB"/>
        </w:rPr>
      </w:pPr>
      <w:r>
        <w:rPr>
          <w:lang w:val="en-GB"/>
        </w:rPr>
        <w:t>Our analysis reveals a lack of consistency in uncertainty quantification within and between fields. The fact that some fields do successfully account for uncertainties for certain model types and sources while others do not indicate that it is disciplinary protocols or customs that have led us to this state. Our analysis also highlights the potential for improvement. To reveal these previously unnoticed patterns, we had to translate the discipline-specific terminology surrounding model development and uncertainty quantification into a common language.</w:t>
      </w:r>
    </w:p>
    <w:p w14:paraId="1146B21A" w14:textId="77777777" w:rsidR="00644FDF" w:rsidRDefault="00644FDF">
      <w:pPr>
        <w:rPr>
          <w:lang w:val="en-GB"/>
        </w:rPr>
      </w:pPr>
    </w:p>
    <w:p w14:paraId="602B5966" w14:textId="1DC8A99F" w:rsidR="00644FDF" w:rsidRDefault="00C732FA">
      <w:pPr>
        <w:rPr>
          <w:lang w:val="en-GB"/>
        </w:rPr>
      </w:pPr>
      <w:r>
        <w:rPr>
          <w:lang w:val="en-GB"/>
        </w:rPr>
        <w:t>We make ten concrete recommendations for current practice, future work, and general research recommendations. The first two categories are aimed at the modelling community and the third is aimed more broadly, including at scientific publications and funders.</w:t>
      </w:r>
    </w:p>
    <w:p w14:paraId="7A11829B" w14:textId="77777777" w:rsidR="00644FDF" w:rsidRDefault="00C732FA">
      <w:pPr>
        <w:rPr>
          <w:lang w:val="en-GB"/>
        </w:rPr>
      </w:pPr>
      <w:r>
        <w:rPr>
          <w:lang w:val="en-GB"/>
        </w:rPr>
        <w:t xml:space="preserve"> </w:t>
      </w:r>
    </w:p>
    <w:p w14:paraId="0CCC6B60" w14:textId="77777777" w:rsidR="00644FDF" w:rsidRDefault="00C732FA">
      <w:pPr>
        <w:rPr>
          <w:lang w:val="en-GB"/>
        </w:rPr>
      </w:pPr>
      <w:r>
        <w:rPr>
          <w:lang w:val="en-GB"/>
        </w:rPr>
        <w:t>Recommendations for standard practice in quantifying model uncertainty:</w:t>
      </w:r>
    </w:p>
    <w:p w14:paraId="193FE71E" w14:textId="77777777" w:rsidR="00644FDF" w:rsidRDefault="00C732FA">
      <w:pPr>
        <w:rPr>
          <w:lang w:val="en-GB"/>
        </w:rPr>
      </w:pPr>
      <w:r>
        <w:rPr>
          <w:lang w:val="en-GB"/>
        </w:rPr>
        <w:t xml:space="preserve"> </w:t>
      </w:r>
    </w:p>
    <w:p w14:paraId="439227F0" w14:textId="77777777" w:rsidR="00644FDF" w:rsidRDefault="00C732FA">
      <w:pPr>
        <w:ind w:left="1800" w:hanging="360"/>
        <w:rPr>
          <w:lang w:val="en-GB"/>
        </w:rPr>
      </w:pPr>
      <w:r>
        <w:rPr>
          <w:lang w:val="en-GB"/>
        </w:rPr>
        <w:t>1.</w:t>
      </w:r>
      <w:r>
        <w:rPr>
          <w:rFonts w:ascii="Times New Roman" w:eastAsia="Times New Roman" w:hAnsi="Times New Roman" w:cs="Times New Roman"/>
          <w:sz w:val="14"/>
          <w:szCs w:val="14"/>
          <w:lang w:val="en-GB"/>
        </w:rPr>
        <w:t xml:space="preserve"> </w:t>
      </w:r>
      <w:r>
        <w:rPr>
          <w:rFonts w:ascii="Times New Roman" w:eastAsia="Times New Roman" w:hAnsi="Times New Roman" w:cs="Times New Roman"/>
          <w:sz w:val="14"/>
          <w:szCs w:val="14"/>
          <w:lang w:val="en-GB"/>
        </w:rPr>
        <w:tab/>
      </w:r>
      <w:r>
        <w:rPr>
          <w:lang w:val="en-GB"/>
        </w:rPr>
        <w:t>Use the source framework as a structured tool for considering model uncertainty. Where uncertainties from the sources can and should be quantified, do so. Where it is not feasible or practical to quantify a particular source of uncertainty, instead include a theoretical discussion and acknowledgement of the missing uncertainty, why it is missing, and consideration of what impact it may have on the results reported.</w:t>
      </w:r>
    </w:p>
    <w:p w14:paraId="59130B50" w14:textId="77777777" w:rsidR="00644FDF" w:rsidRDefault="00C732FA">
      <w:pPr>
        <w:ind w:left="1800" w:hanging="360"/>
        <w:rPr>
          <w:lang w:val="en-GB"/>
        </w:rPr>
      </w:pPr>
      <w:r>
        <w:rPr>
          <w:lang w:val="en-GB"/>
        </w:rPr>
        <w:t>2.</w:t>
      </w:r>
      <w:r>
        <w:rPr>
          <w:rFonts w:ascii="Times New Roman" w:eastAsia="Times New Roman" w:hAnsi="Times New Roman" w:cs="Times New Roman"/>
          <w:sz w:val="14"/>
          <w:szCs w:val="14"/>
          <w:lang w:val="en-GB"/>
        </w:rPr>
        <w:t xml:space="preserve"> </w:t>
      </w:r>
      <w:r>
        <w:rPr>
          <w:rFonts w:ascii="Times New Roman" w:eastAsia="Times New Roman" w:hAnsi="Times New Roman" w:cs="Times New Roman"/>
          <w:sz w:val="14"/>
          <w:szCs w:val="14"/>
          <w:lang w:val="en-GB"/>
        </w:rPr>
        <w:tab/>
      </w:r>
      <w:r>
        <w:rPr>
          <w:lang w:val="en-GB"/>
        </w:rPr>
        <w:t>Follow our proposed inter-disciplinary good practice guidelines for uncertainty quantification (see Box 2).</w:t>
      </w:r>
    </w:p>
    <w:p w14:paraId="4AA5CFD5" w14:textId="77777777" w:rsidR="00644FDF" w:rsidRDefault="00C732FA">
      <w:pPr>
        <w:ind w:left="1800" w:hanging="360"/>
        <w:rPr>
          <w:lang w:val="en-GB"/>
        </w:rPr>
      </w:pPr>
      <w:r>
        <w:rPr>
          <w:lang w:val="en-GB"/>
        </w:rPr>
        <w:t>3.</w:t>
      </w:r>
      <w:r>
        <w:rPr>
          <w:rFonts w:ascii="Times New Roman" w:eastAsia="Times New Roman" w:hAnsi="Times New Roman" w:cs="Times New Roman"/>
          <w:sz w:val="14"/>
          <w:szCs w:val="14"/>
          <w:lang w:val="en-GB"/>
        </w:rPr>
        <w:t xml:space="preserve"> </w:t>
      </w:r>
      <w:r>
        <w:rPr>
          <w:rFonts w:ascii="Times New Roman" w:eastAsia="Times New Roman" w:hAnsi="Times New Roman" w:cs="Times New Roman"/>
          <w:sz w:val="14"/>
          <w:szCs w:val="14"/>
          <w:lang w:val="en-GB"/>
        </w:rPr>
        <w:tab/>
      </w:r>
      <w:r>
        <w:rPr>
          <w:lang w:val="en-GB"/>
        </w:rPr>
        <w:t xml:space="preserve">Present model uncertainty as clearly as possible using at minimum some numeric presentation to aid reuse and reduce ambiguity. Should be combined with visual presentation when feasible to aid interpretability. </w:t>
      </w:r>
    </w:p>
    <w:p w14:paraId="5622FB10" w14:textId="77777777" w:rsidR="00644FDF" w:rsidRDefault="00C732FA">
      <w:pPr>
        <w:ind w:left="1800" w:hanging="360"/>
        <w:rPr>
          <w:lang w:val="en-GB"/>
        </w:rPr>
      </w:pPr>
      <w:r>
        <w:rPr>
          <w:lang w:val="en-GB"/>
        </w:rPr>
        <w:t>4.</w:t>
      </w:r>
      <w:r>
        <w:rPr>
          <w:rFonts w:ascii="Times New Roman" w:eastAsia="Times New Roman" w:hAnsi="Times New Roman" w:cs="Times New Roman"/>
          <w:sz w:val="14"/>
          <w:szCs w:val="14"/>
          <w:lang w:val="en-GB"/>
        </w:rPr>
        <w:t xml:space="preserve"> </w:t>
      </w:r>
      <w:r>
        <w:rPr>
          <w:rFonts w:ascii="Times New Roman" w:eastAsia="Times New Roman" w:hAnsi="Times New Roman" w:cs="Times New Roman"/>
          <w:sz w:val="14"/>
          <w:szCs w:val="14"/>
          <w:lang w:val="en-GB"/>
        </w:rPr>
        <w:tab/>
      </w:r>
      <w:r>
        <w:rPr>
          <w:lang w:val="en-GB"/>
        </w:rPr>
        <w:t>Propagate model uncertainties into the conclusions drawn from the work.</w:t>
      </w:r>
    </w:p>
    <w:p w14:paraId="1706891B" w14:textId="77777777" w:rsidR="00644FDF" w:rsidRDefault="00C732FA">
      <w:pPr>
        <w:rPr>
          <w:lang w:val="en-GB"/>
        </w:rPr>
      </w:pPr>
      <w:r>
        <w:rPr>
          <w:lang w:val="en-GB"/>
        </w:rPr>
        <w:t xml:space="preserve"> </w:t>
      </w:r>
    </w:p>
    <w:p w14:paraId="70C680AF" w14:textId="77777777" w:rsidR="00644FDF" w:rsidRDefault="00C732FA">
      <w:pPr>
        <w:rPr>
          <w:lang w:val="en-GB"/>
        </w:rPr>
      </w:pPr>
      <w:r>
        <w:rPr>
          <w:lang w:val="en-GB"/>
        </w:rPr>
        <w:lastRenderedPageBreak/>
        <w:t>Recommended future research priorities:</w:t>
      </w:r>
    </w:p>
    <w:p w14:paraId="0A43BC67" w14:textId="77777777" w:rsidR="00644FDF" w:rsidRDefault="00C732FA">
      <w:pPr>
        <w:rPr>
          <w:lang w:val="en-GB"/>
        </w:rPr>
      </w:pPr>
      <w:r>
        <w:rPr>
          <w:lang w:val="en-GB"/>
        </w:rPr>
        <w:t xml:space="preserve"> </w:t>
      </w:r>
    </w:p>
    <w:p w14:paraId="639F7496" w14:textId="77777777" w:rsidR="00644FDF" w:rsidRDefault="00C732FA">
      <w:pPr>
        <w:ind w:left="1800" w:hanging="360"/>
        <w:rPr>
          <w:lang w:val="en-GB"/>
        </w:rPr>
      </w:pPr>
      <w:r>
        <w:rPr>
          <w:lang w:val="en-GB"/>
        </w:rPr>
        <w:t>5.</w:t>
      </w:r>
      <w:r>
        <w:rPr>
          <w:rFonts w:ascii="Times New Roman" w:eastAsia="Times New Roman" w:hAnsi="Times New Roman" w:cs="Times New Roman"/>
          <w:sz w:val="14"/>
          <w:szCs w:val="14"/>
          <w:lang w:val="en-GB"/>
        </w:rPr>
        <w:t xml:space="preserve"> </w:t>
      </w:r>
      <w:r>
        <w:rPr>
          <w:rFonts w:ascii="Times New Roman" w:eastAsia="Times New Roman" w:hAnsi="Times New Roman" w:cs="Times New Roman"/>
          <w:sz w:val="14"/>
          <w:szCs w:val="14"/>
          <w:lang w:val="en-GB"/>
        </w:rPr>
        <w:tab/>
      </w:r>
      <w:r>
        <w:rPr>
          <w:lang w:val="en-GB"/>
        </w:rPr>
        <w:t>Develop tools and guidance on how to identify when uncertainty from input data is important.</w:t>
      </w:r>
    </w:p>
    <w:p w14:paraId="77488F08" w14:textId="77777777" w:rsidR="00644FDF" w:rsidRDefault="00C732FA">
      <w:pPr>
        <w:ind w:left="1800" w:hanging="360"/>
        <w:rPr>
          <w:lang w:val="en-GB"/>
        </w:rPr>
      </w:pPr>
      <w:r>
        <w:rPr>
          <w:lang w:val="en-GB"/>
        </w:rPr>
        <w:t>6.</w:t>
      </w:r>
      <w:r>
        <w:rPr>
          <w:rFonts w:ascii="Times New Roman" w:eastAsia="Times New Roman" w:hAnsi="Times New Roman" w:cs="Times New Roman"/>
          <w:sz w:val="14"/>
          <w:szCs w:val="14"/>
          <w:lang w:val="en-GB"/>
        </w:rPr>
        <w:t xml:space="preserve"> </w:t>
      </w:r>
      <w:r>
        <w:rPr>
          <w:rFonts w:ascii="Times New Roman" w:eastAsia="Times New Roman" w:hAnsi="Times New Roman" w:cs="Times New Roman"/>
          <w:sz w:val="14"/>
          <w:szCs w:val="14"/>
          <w:lang w:val="en-GB"/>
        </w:rPr>
        <w:tab/>
      </w:r>
      <w:r>
        <w:rPr>
          <w:lang w:val="en-GB"/>
        </w:rPr>
        <w:t>Couple modelling advances such as increased complexity or AI and machine learning with further theoretical work on how to quantify and propagate the uncertainties associated with such methods.</w:t>
      </w:r>
    </w:p>
    <w:p w14:paraId="35A41F5E" w14:textId="77777777" w:rsidR="00644FDF" w:rsidRDefault="00C732FA">
      <w:pPr>
        <w:ind w:left="1800" w:hanging="360"/>
        <w:rPr>
          <w:lang w:val="en-GB"/>
        </w:rPr>
      </w:pPr>
      <w:r>
        <w:rPr>
          <w:lang w:val="en-GB"/>
        </w:rPr>
        <w:t>7.</w:t>
      </w:r>
      <w:r>
        <w:rPr>
          <w:rFonts w:ascii="Times New Roman" w:eastAsia="Times New Roman" w:hAnsi="Times New Roman" w:cs="Times New Roman"/>
          <w:sz w:val="14"/>
          <w:szCs w:val="14"/>
          <w:lang w:val="en-GB"/>
        </w:rPr>
        <w:t xml:space="preserve"> </w:t>
      </w:r>
      <w:r>
        <w:rPr>
          <w:rFonts w:ascii="Times New Roman" w:eastAsia="Times New Roman" w:hAnsi="Times New Roman" w:cs="Times New Roman"/>
          <w:sz w:val="14"/>
          <w:szCs w:val="14"/>
          <w:lang w:val="en-GB"/>
        </w:rPr>
        <w:tab/>
      </w:r>
      <w:r>
        <w:rPr>
          <w:lang w:val="en-GB"/>
        </w:rPr>
        <w:t>Conduct further research into the influence and importance of the different sources of uncertainty for final results and conclusions across multiple modelling types and contexts.</w:t>
      </w:r>
    </w:p>
    <w:p w14:paraId="74541D8E" w14:textId="72F6A8E2" w:rsidR="00644FDF" w:rsidRDefault="00C732FA">
      <w:pPr>
        <w:ind w:left="1800" w:hanging="360"/>
        <w:rPr>
          <w:lang w:val="en-GB"/>
        </w:rPr>
      </w:pPr>
      <w:r>
        <w:rPr>
          <w:lang w:val="en-GB"/>
        </w:rPr>
        <w:t xml:space="preserve">8. </w:t>
      </w:r>
      <w:r w:rsidR="001A5DAF">
        <w:rPr>
          <w:lang w:val="en-GB"/>
        </w:rPr>
        <w:t xml:space="preserve">  </w:t>
      </w:r>
      <w:r>
        <w:rPr>
          <w:lang w:val="en-GB"/>
        </w:rPr>
        <w:t>Expand our uncertainty framework to include areas beyond quantitative models. Particularly</w:t>
      </w:r>
      <w:r w:rsidR="00B85D40">
        <w:rPr>
          <w:lang w:val="en-GB"/>
        </w:rPr>
        <w:t>,</w:t>
      </w:r>
      <w:r>
        <w:rPr>
          <w:lang w:val="en-GB"/>
        </w:rPr>
        <w:t xml:space="preserve"> do this in the context of a broader range of </w:t>
      </w:r>
      <w:r w:rsidR="004C712E">
        <w:rPr>
          <w:lang w:val="en-GB"/>
        </w:rPr>
        <w:t>s</w:t>
      </w:r>
      <w:r>
        <w:rPr>
          <w:lang w:val="en-GB"/>
        </w:rPr>
        <w:t xml:space="preserve">ocial </w:t>
      </w:r>
      <w:r w:rsidR="004C712E">
        <w:rPr>
          <w:lang w:val="en-GB"/>
        </w:rPr>
        <w:t>s</w:t>
      </w:r>
      <w:r>
        <w:rPr>
          <w:lang w:val="en-GB"/>
        </w:rPr>
        <w:t>ciences to better capture their unique issues with relation to uncertainty.</w:t>
      </w:r>
    </w:p>
    <w:p w14:paraId="59FECA91" w14:textId="77777777" w:rsidR="00644FDF" w:rsidRDefault="00C732FA">
      <w:pPr>
        <w:rPr>
          <w:lang w:val="en-GB"/>
        </w:rPr>
      </w:pPr>
      <w:r>
        <w:rPr>
          <w:lang w:val="en-GB"/>
        </w:rPr>
        <w:t xml:space="preserve"> </w:t>
      </w:r>
    </w:p>
    <w:p w14:paraId="1EAE11CB" w14:textId="77777777" w:rsidR="00644FDF" w:rsidRDefault="00C732FA">
      <w:pPr>
        <w:rPr>
          <w:lang w:val="en-GB"/>
        </w:rPr>
      </w:pPr>
      <w:r>
        <w:rPr>
          <w:lang w:val="en-GB"/>
        </w:rPr>
        <w:t>General recommendations:</w:t>
      </w:r>
    </w:p>
    <w:p w14:paraId="16ED488E" w14:textId="77777777" w:rsidR="00644FDF" w:rsidRDefault="00C732FA">
      <w:pPr>
        <w:rPr>
          <w:lang w:val="en-GB"/>
        </w:rPr>
      </w:pPr>
      <w:r>
        <w:rPr>
          <w:lang w:val="en-GB"/>
        </w:rPr>
        <w:t xml:space="preserve"> </w:t>
      </w:r>
    </w:p>
    <w:p w14:paraId="28051EB8" w14:textId="6DC9F3B8" w:rsidR="00644FDF" w:rsidRDefault="00C732FA">
      <w:pPr>
        <w:ind w:left="1800" w:hanging="360"/>
        <w:rPr>
          <w:lang w:val="en-GB"/>
        </w:rPr>
      </w:pPr>
      <w:r>
        <w:rPr>
          <w:lang w:val="en-GB"/>
        </w:rPr>
        <w:t>9.</w:t>
      </w:r>
      <w:r>
        <w:rPr>
          <w:rFonts w:ascii="Times New Roman" w:eastAsia="Times New Roman" w:hAnsi="Times New Roman" w:cs="Times New Roman"/>
          <w:sz w:val="14"/>
          <w:szCs w:val="14"/>
          <w:lang w:val="en-GB"/>
        </w:rPr>
        <w:t xml:space="preserve"> </w:t>
      </w:r>
      <w:r>
        <w:rPr>
          <w:rFonts w:ascii="Times New Roman" w:eastAsia="Times New Roman" w:hAnsi="Times New Roman" w:cs="Times New Roman"/>
          <w:sz w:val="14"/>
          <w:szCs w:val="14"/>
          <w:lang w:val="en-GB"/>
        </w:rPr>
        <w:tab/>
      </w:r>
      <w:r>
        <w:rPr>
          <w:lang w:val="en-GB"/>
        </w:rPr>
        <w:t>Where uncertainty cannot yet be quantified and its impact is not known, be transparent about these limitations, especially when drawing conclusions. Be accepting of conclusions that include explicit recognition of model uncertainty</w:t>
      </w:r>
    </w:p>
    <w:p w14:paraId="677835FC" w14:textId="5A35C284" w:rsidR="00644FDF" w:rsidRDefault="00C732FA">
      <w:pPr>
        <w:ind w:left="1800" w:hanging="360"/>
        <w:rPr>
          <w:lang w:val="en-GB"/>
        </w:rPr>
      </w:pPr>
      <w:r>
        <w:rPr>
          <w:lang w:val="en-GB"/>
        </w:rPr>
        <w:t>10.</w:t>
      </w:r>
      <w:r>
        <w:rPr>
          <w:rFonts w:ascii="Times New Roman" w:eastAsia="Times New Roman" w:hAnsi="Times New Roman" w:cs="Times New Roman"/>
          <w:sz w:val="14"/>
          <w:szCs w:val="14"/>
          <w:lang w:val="en-GB"/>
        </w:rPr>
        <w:t xml:space="preserve"> </w:t>
      </w:r>
      <w:r>
        <w:rPr>
          <w:rFonts w:ascii="Times New Roman" w:eastAsia="Times New Roman" w:hAnsi="Times New Roman" w:cs="Times New Roman"/>
          <w:sz w:val="14"/>
          <w:szCs w:val="14"/>
          <w:lang w:val="en-GB"/>
        </w:rPr>
        <w:tab/>
      </w:r>
      <w:r>
        <w:rPr>
          <w:lang w:val="en-GB"/>
        </w:rPr>
        <w:t xml:space="preserve">Make it standard to have transparent and easy access to quantified model uncertainties in all manuscripts, </w:t>
      </w:r>
      <w:proofErr w:type="gramStart"/>
      <w:r>
        <w:rPr>
          <w:lang w:val="en-GB"/>
        </w:rPr>
        <w:t>e.g.</w:t>
      </w:r>
      <w:proofErr w:type="gramEnd"/>
      <w:r>
        <w:rPr>
          <w:lang w:val="en-GB"/>
        </w:rPr>
        <w:t xml:space="preserve"> through standard dedicated supplemental information sections</w:t>
      </w:r>
    </w:p>
    <w:p w14:paraId="09BBE6C8" w14:textId="77777777" w:rsidR="00644FDF" w:rsidRDefault="00C732FA">
      <w:pPr>
        <w:rPr>
          <w:lang w:val="en-GB"/>
        </w:rPr>
      </w:pPr>
      <w:r>
        <w:rPr>
          <w:lang w:val="en-GB"/>
        </w:rPr>
        <w:t xml:space="preserve"> </w:t>
      </w:r>
    </w:p>
    <w:p w14:paraId="08913F28" w14:textId="492C874A" w:rsidR="00644FDF" w:rsidRDefault="00C732FA">
      <w:pPr>
        <w:rPr>
          <w:lang w:val="en-GB"/>
        </w:rPr>
      </w:pPr>
      <w:r>
        <w:rPr>
          <w:lang w:val="en-GB"/>
        </w:rPr>
        <w:t>Recommendations 1, 2, 3, 4, and 9 can be implemented immediately but recommendations 5, 6, 7, 8 and 10 require long-term planning.</w:t>
      </w:r>
    </w:p>
    <w:p w14:paraId="4730935C" w14:textId="77777777" w:rsidR="00644FDF" w:rsidRDefault="00644FDF">
      <w:pPr>
        <w:pStyle w:val="Acknowledgement"/>
        <w:ind w:left="0" w:firstLine="0"/>
        <w:rPr>
          <w:rFonts w:ascii="Arial" w:hAnsi="Arial" w:cs="Arial"/>
          <w:lang w:val="en-GB"/>
        </w:rPr>
      </w:pPr>
    </w:p>
    <w:p w14:paraId="2D92023F" w14:textId="77777777" w:rsidR="00644FDF" w:rsidRDefault="00C732FA">
      <w:pPr>
        <w:pStyle w:val="Acknowledgement"/>
        <w:rPr>
          <w:rFonts w:ascii="Arial" w:hAnsi="Arial" w:cs="Arial"/>
          <w:lang w:val="en-GB"/>
        </w:rPr>
      </w:pPr>
      <w:r>
        <w:rPr>
          <w:rFonts w:ascii="Arial" w:hAnsi="Arial" w:cs="Arial"/>
          <w:b/>
          <w:sz w:val="28"/>
          <w:szCs w:val="28"/>
          <w:lang w:val="en-GB"/>
        </w:rPr>
        <w:t>Declaration of interests:</w:t>
      </w:r>
      <w:r>
        <w:rPr>
          <w:rFonts w:ascii="Arial" w:hAnsi="Arial" w:cs="Arial"/>
          <w:lang w:val="en-GB"/>
        </w:rPr>
        <w:t xml:space="preserve"> </w:t>
      </w:r>
      <w:bookmarkStart w:id="6" w:name="_Hlk62207935"/>
    </w:p>
    <w:p w14:paraId="556CEBD9" w14:textId="77777777" w:rsidR="00644FDF" w:rsidRDefault="00C732FA">
      <w:pPr>
        <w:pStyle w:val="Acknowledgement"/>
        <w:rPr>
          <w:rFonts w:ascii="Arial" w:hAnsi="Arial" w:cs="Arial"/>
          <w:lang w:val="en-GB"/>
        </w:rPr>
      </w:pPr>
      <w:r>
        <w:rPr>
          <w:rFonts w:ascii="Arial" w:hAnsi="Arial" w:cs="Arial"/>
          <w:lang w:val="en-GB"/>
        </w:rPr>
        <w:t>Authors declare that they have no competing interests.</w:t>
      </w:r>
      <w:bookmarkEnd w:id="5"/>
      <w:bookmarkEnd w:id="6"/>
    </w:p>
    <w:p w14:paraId="4EA0D02E" w14:textId="77777777" w:rsidR="00644FDF" w:rsidRDefault="00644FDF">
      <w:pPr>
        <w:pStyle w:val="Acknowledgement"/>
        <w:rPr>
          <w:rFonts w:ascii="Arial" w:hAnsi="Arial" w:cs="Arial"/>
          <w:lang w:val="en-GB"/>
        </w:rPr>
      </w:pPr>
    </w:p>
    <w:p w14:paraId="0A5F4137" w14:textId="77777777" w:rsidR="00644FDF" w:rsidRDefault="00C732FA">
      <w:pPr>
        <w:rPr>
          <w:b/>
          <w:sz w:val="28"/>
          <w:szCs w:val="28"/>
          <w:lang w:val="en-GB"/>
        </w:rPr>
      </w:pPr>
      <w:r>
        <w:rPr>
          <w:b/>
          <w:sz w:val="28"/>
          <w:szCs w:val="28"/>
          <w:lang w:val="en-GB"/>
        </w:rPr>
        <w:t>Acknowledgements:</w:t>
      </w:r>
    </w:p>
    <w:p w14:paraId="03559FEB" w14:textId="77777777" w:rsidR="00644FDF" w:rsidRDefault="00C732FA">
      <w:pPr>
        <w:pStyle w:val="Acknowledgement"/>
        <w:ind w:left="0" w:firstLine="0"/>
        <w:rPr>
          <w:rFonts w:ascii="Arial" w:hAnsi="Arial" w:cs="Arial"/>
          <w:lang w:val="en-GB"/>
        </w:rPr>
      </w:pPr>
      <w:r>
        <w:rPr>
          <w:rFonts w:ascii="Arial" w:hAnsi="Arial" w:cs="Arial"/>
          <w:lang w:val="en-GB"/>
        </w:rPr>
        <w:t xml:space="preserve">We would like to acknowledge and thank those collaborators who left the team due to extenuating circumstances.  </w:t>
      </w:r>
    </w:p>
    <w:p w14:paraId="06E4B20C" w14:textId="77777777" w:rsidR="00644FDF" w:rsidRDefault="00644FDF">
      <w:pPr>
        <w:pStyle w:val="Acknowledgement"/>
        <w:ind w:left="0" w:firstLine="0"/>
        <w:rPr>
          <w:rFonts w:ascii="Arial" w:hAnsi="Arial" w:cs="Arial"/>
          <w:lang w:val="en-GB"/>
        </w:rPr>
      </w:pPr>
    </w:p>
    <w:p w14:paraId="0E8F2844" w14:textId="77777777" w:rsidR="00644FDF" w:rsidRDefault="00C732FA">
      <w:pPr>
        <w:pStyle w:val="Acknowledgement"/>
        <w:rPr>
          <w:rFonts w:ascii="Arial" w:hAnsi="Arial" w:cs="Arial"/>
          <w:sz w:val="28"/>
          <w:szCs w:val="28"/>
          <w:lang w:val="en-GB"/>
        </w:rPr>
      </w:pPr>
      <w:r>
        <w:rPr>
          <w:rFonts w:ascii="Arial" w:hAnsi="Arial" w:cs="Arial"/>
          <w:b/>
          <w:sz w:val="28"/>
          <w:szCs w:val="28"/>
          <w:lang w:val="en-GB"/>
        </w:rPr>
        <w:t>Author contributions:</w:t>
      </w:r>
      <w:r>
        <w:rPr>
          <w:rFonts w:ascii="Arial" w:hAnsi="Arial" w:cs="Arial"/>
          <w:sz w:val="28"/>
          <w:szCs w:val="28"/>
          <w:lang w:val="en-GB"/>
        </w:rPr>
        <w:t xml:space="preserve"> </w:t>
      </w:r>
      <w:bookmarkStart w:id="7" w:name="_Hlk62207876"/>
    </w:p>
    <w:p w14:paraId="25086B22" w14:textId="77777777" w:rsidR="00644FDF" w:rsidRDefault="00C732FA">
      <w:pPr>
        <w:pStyle w:val="acknowledgement0"/>
        <w:spacing w:before="120" w:beforeAutospacing="0" w:after="0" w:afterAutospacing="0"/>
        <w:jc w:val="both"/>
        <w:rPr>
          <w:rFonts w:ascii="Arial" w:hAnsi="Arial" w:cs="Arial"/>
          <w:color w:val="000000"/>
          <w:lang w:val="en-GB"/>
        </w:rPr>
      </w:pPr>
      <w:r>
        <w:rPr>
          <w:rFonts w:ascii="Arial" w:hAnsi="Arial" w:cs="Arial"/>
          <w:color w:val="000000"/>
          <w:lang w:val="en-GB"/>
        </w:rPr>
        <w:t>Conceptualization: EGS, RBOH</w:t>
      </w:r>
    </w:p>
    <w:p w14:paraId="4F02B431" w14:textId="77777777" w:rsidR="00644FDF" w:rsidRDefault="00C732FA">
      <w:pPr>
        <w:pStyle w:val="acknowledgement0"/>
        <w:spacing w:before="120" w:beforeAutospacing="0" w:after="0" w:afterAutospacing="0"/>
        <w:jc w:val="both"/>
        <w:rPr>
          <w:rFonts w:ascii="Arial" w:hAnsi="Arial" w:cs="Arial"/>
          <w:color w:val="000000"/>
          <w:lang w:val="en-GB"/>
        </w:rPr>
      </w:pPr>
      <w:r>
        <w:rPr>
          <w:rFonts w:ascii="Arial" w:hAnsi="Arial" w:cs="Arial"/>
          <w:color w:val="000000"/>
          <w:lang w:val="en-GB"/>
        </w:rPr>
        <w:t>Methodology: EGS, RBOH, KPA, BC, RGG, JHL, CM, JSP, ESS</w:t>
      </w:r>
    </w:p>
    <w:p w14:paraId="35C7A886" w14:textId="77777777" w:rsidR="00644FDF" w:rsidRDefault="00C732FA">
      <w:pPr>
        <w:pStyle w:val="acknowledgement0"/>
        <w:spacing w:before="120" w:beforeAutospacing="0" w:after="0" w:afterAutospacing="0"/>
        <w:jc w:val="both"/>
        <w:rPr>
          <w:rFonts w:ascii="Arial" w:hAnsi="Arial" w:cs="Arial"/>
          <w:color w:val="000000"/>
          <w:lang w:val="en-GB"/>
        </w:rPr>
      </w:pPr>
      <w:r>
        <w:rPr>
          <w:rFonts w:ascii="Arial" w:hAnsi="Arial" w:cs="Arial"/>
          <w:color w:val="000000"/>
          <w:lang w:val="en-GB"/>
        </w:rPr>
        <w:t>Audit of papers: All authors</w:t>
      </w:r>
    </w:p>
    <w:p w14:paraId="4798E5A9" w14:textId="77777777" w:rsidR="00644FDF" w:rsidRDefault="00C732FA">
      <w:pPr>
        <w:pStyle w:val="acknowledgement0"/>
        <w:spacing w:before="120" w:beforeAutospacing="0" w:after="0" w:afterAutospacing="0"/>
        <w:jc w:val="both"/>
        <w:rPr>
          <w:rFonts w:ascii="Arial" w:hAnsi="Arial" w:cs="Arial"/>
          <w:color w:val="000000"/>
          <w:lang w:val="en-GB"/>
        </w:rPr>
      </w:pPr>
      <w:r>
        <w:rPr>
          <w:rFonts w:ascii="Arial" w:hAnsi="Arial" w:cs="Arial"/>
          <w:color w:val="000000"/>
          <w:lang w:val="en-GB"/>
        </w:rPr>
        <w:t>Visualization: EGS, JHL</w:t>
      </w:r>
    </w:p>
    <w:p w14:paraId="4FAF5B16" w14:textId="6F53D24C" w:rsidR="00644FDF" w:rsidRDefault="00C732FA">
      <w:pPr>
        <w:pStyle w:val="acknowledgement0"/>
        <w:spacing w:before="120" w:beforeAutospacing="0" w:after="0" w:afterAutospacing="0"/>
        <w:jc w:val="both"/>
        <w:rPr>
          <w:rFonts w:ascii="Arial" w:hAnsi="Arial" w:cs="Arial"/>
          <w:color w:val="000000"/>
          <w:lang w:val="en-GB"/>
        </w:rPr>
      </w:pPr>
      <w:r>
        <w:rPr>
          <w:rFonts w:ascii="Arial" w:hAnsi="Arial" w:cs="Arial"/>
          <w:color w:val="000000"/>
          <w:lang w:val="en-GB"/>
        </w:rPr>
        <w:t xml:space="preserve">Project administration: EGS (whole project), CB (Neuroscience), EDS (Climate Science), FG </w:t>
      </w:r>
      <w:r w:rsidR="00B85D40">
        <w:rPr>
          <w:rFonts w:ascii="Arial" w:hAnsi="Arial" w:cs="Arial"/>
          <w:color w:val="000000"/>
          <w:lang w:val="en-GB"/>
        </w:rPr>
        <w:t>(</w:t>
      </w:r>
      <w:r>
        <w:rPr>
          <w:rFonts w:ascii="Arial" w:hAnsi="Arial" w:cs="Arial"/>
          <w:color w:val="000000"/>
          <w:lang w:val="en-GB"/>
        </w:rPr>
        <w:t>Oceanography)</w:t>
      </w:r>
    </w:p>
    <w:p w14:paraId="15463AE7" w14:textId="77777777" w:rsidR="00644FDF" w:rsidRDefault="00C732FA">
      <w:pPr>
        <w:pStyle w:val="acknowledgement0"/>
        <w:spacing w:before="120" w:beforeAutospacing="0" w:after="0" w:afterAutospacing="0"/>
        <w:jc w:val="both"/>
        <w:rPr>
          <w:rFonts w:ascii="Arial" w:hAnsi="Arial" w:cs="Arial"/>
          <w:color w:val="000000"/>
          <w:lang w:val="en-GB"/>
        </w:rPr>
      </w:pPr>
      <w:r>
        <w:rPr>
          <w:rFonts w:ascii="Arial" w:hAnsi="Arial" w:cs="Arial"/>
          <w:color w:val="000000"/>
          <w:lang w:val="en-GB"/>
        </w:rPr>
        <w:t>Writing – original draft: All authors</w:t>
      </w:r>
    </w:p>
    <w:p w14:paraId="424E7693" w14:textId="77777777" w:rsidR="00644FDF" w:rsidRDefault="00C732FA">
      <w:pPr>
        <w:pStyle w:val="acknowledgement0"/>
        <w:spacing w:before="120" w:beforeAutospacing="0" w:after="0" w:afterAutospacing="0"/>
        <w:jc w:val="both"/>
        <w:rPr>
          <w:rFonts w:ascii="Arial" w:hAnsi="Arial" w:cs="Arial"/>
          <w:color w:val="000000"/>
          <w:lang w:val="en-GB"/>
        </w:rPr>
      </w:pPr>
      <w:r>
        <w:rPr>
          <w:rFonts w:ascii="Arial" w:hAnsi="Arial" w:cs="Arial"/>
          <w:color w:val="000000"/>
          <w:lang w:val="en-GB"/>
        </w:rPr>
        <w:t>Writing – review &amp; editing: All authors</w:t>
      </w:r>
      <w:bookmarkEnd w:id="7"/>
    </w:p>
    <w:p w14:paraId="5727CA41" w14:textId="77777777" w:rsidR="00644FDF" w:rsidRDefault="00644FDF">
      <w:pPr>
        <w:rPr>
          <w:b/>
          <w:sz w:val="28"/>
          <w:szCs w:val="28"/>
          <w:lang w:val="en-GB"/>
        </w:rPr>
      </w:pPr>
    </w:p>
    <w:p w14:paraId="2C870C30" w14:textId="77777777" w:rsidR="00644FDF" w:rsidRPr="00B3582E" w:rsidRDefault="00C732FA">
      <w:pPr>
        <w:rPr>
          <w:b/>
          <w:sz w:val="24"/>
          <w:szCs w:val="24"/>
          <w:lang w:val="en-GB"/>
        </w:rPr>
      </w:pPr>
      <w:r w:rsidRPr="00B3582E">
        <w:rPr>
          <w:b/>
          <w:sz w:val="24"/>
          <w:szCs w:val="24"/>
          <w:lang w:val="en-GB"/>
        </w:rPr>
        <w:t>References:</w:t>
      </w:r>
    </w:p>
    <w:p w14:paraId="53EB487B" w14:textId="77777777" w:rsidR="00644FDF" w:rsidRPr="00B80356" w:rsidRDefault="00C732FA">
      <w:pPr>
        <w:rPr>
          <w:lang w:val="en-GB"/>
        </w:rPr>
      </w:pPr>
      <w:r w:rsidRPr="00B80356">
        <w:rPr>
          <w:lang w:val="en-GB"/>
        </w:rPr>
        <w:lastRenderedPageBreak/>
        <w:t xml:space="preserve"> </w:t>
      </w:r>
    </w:p>
    <w:p w14:paraId="10E5F914" w14:textId="47304E26" w:rsidR="00B3582E" w:rsidRPr="00B3582E" w:rsidRDefault="00B3582E" w:rsidP="00B3582E">
      <w:pPr>
        <w:widowControl w:val="0"/>
        <w:autoSpaceDE w:val="0"/>
        <w:autoSpaceDN w:val="0"/>
        <w:adjustRightInd w:val="0"/>
        <w:spacing w:line="240" w:lineRule="auto"/>
        <w:ind w:left="480" w:hanging="480"/>
        <w:rPr>
          <w:noProof/>
          <w:lang w:val="en-GB"/>
        </w:rPr>
      </w:pPr>
      <w:r>
        <w:rPr>
          <w:lang w:val="en-GB"/>
        </w:rPr>
        <w:fldChar w:fldCharType="begin" w:fldLock="1"/>
      </w:r>
      <w:r>
        <w:rPr>
          <w:lang w:val="en-GB"/>
        </w:rPr>
        <w:instrText xml:space="preserve">ADDIN Mendeley Bibliography CSL_BIBLIOGRAPHY </w:instrText>
      </w:r>
      <w:r>
        <w:rPr>
          <w:lang w:val="en-GB"/>
        </w:rPr>
        <w:fldChar w:fldCharType="separate"/>
      </w:r>
      <w:r w:rsidRPr="00B3582E">
        <w:rPr>
          <w:noProof/>
          <w:lang w:val="en-GB"/>
        </w:rPr>
        <w:t>Aigner, D.J., 1973. Regression with a binary independent variable subject to errors of observation. J. Econom. 1, 49–59. https://doi.org/10.1016/0304-4076(73)90005-5</w:t>
      </w:r>
    </w:p>
    <w:p w14:paraId="61911E39"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Bollinger, C.R., 1998. Measurement error in the current population survey: A nonparametric look. J. Labor Econ. 16, 576–594. https://doi.org/10.1086/209899</w:t>
      </w:r>
    </w:p>
    <w:p w14:paraId="1741661F"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Bonneau, G.-P., Hege, H.-C., Johnson, C.R., Oliveira, M.M., Potter, K., Rheingans, P., Schultz, T., 2014. Overview and State-of-the-Art of Uncertainty Visualization, in: Hansen, C.D., Chen, M., Johnson, C.R., Kaufman, A.E., Hagen, H. (Eds.), Scientific Visualization: Uncertainty, Multifield, Biomedical, and Scalable Visualization. Springer, London, pp. 3–28.</w:t>
      </w:r>
    </w:p>
    <w:p w14:paraId="42F77EF0"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Booker, J.M., Ross, T.J., 2011. An evolution of uncertainty assessment and quantification. Sci. Iran. 18, 669–676. https://doi.org/10.1016/j.scient.2011.04.017</w:t>
      </w:r>
    </w:p>
    <w:p w14:paraId="2BCDA890"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Bound, J., Brown, C., Mathiowetz, N., 2001. Measurement error in survey data, in: Heckman, J.J., Leamer, E. (Eds.), Handbook of Econometrics. Elsevier Science, Amsterdan, pp. 3705–37843.</w:t>
      </w:r>
    </w:p>
    <w:p w14:paraId="0BC85AF5"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Braithwaite, D., Goldstone, R., 2013. Benefits of graphical and symbolic representations of learning and transfer of statisitcal concepts. Proc. Annu. Meet. Cogn. Sci. Behav. 35, 1928–1933.</w:t>
      </w:r>
    </w:p>
    <w:p w14:paraId="205616CA"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Budescu, D. V., Broomell, S., Por, H.H., 2009. Improving communication of uncertainty in the reports of the intergovernmental panel on climate change. Psychol. Sci. 20, 299–308. https://doi.org/10.1111/j.1467-9280.2009.02284.x</w:t>
      </w:r>
    </w:p>
    <w:p w14:paraId="21B4F630"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Carroll, R.J., Ruppert, D., Stefanski, L.A., Crainiceanu, C.M., 2006. Measurement error in nonlinear models: A modern perspective, second edition, Measurement Error in Nonlinear Models: A Modern Perspective, Second Edition.</w:t>
      </w:r>
    </w:p>
    <w:p w14:paraId="365548C2"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Chen, X., Hong, H., Nekipelov, D., 2011. Nonlinear models of measurement errors. J. Econ. Lit. 49, 901–937. https://doi.org/10.1257/jel.49.4.901</w:t>
      </w:r>
    </w:p>
    <w:p w14:paraId="00D51299"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Conith, M.R., Conith, A.J., Albertson, R.C., 2019. Evolution of a soft-tissue foraging adaptation in African cichlids: Roles for novelty, convergence, and constraint. Evolution (N. Y). 73, 2072–2084. https://doi.org/10.1111/evo.13824</w:t>
      </w:r>
    </w:p>
    <w:p w14:paraId="09371C13"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Damgaard, C., 2020. Measurement Uncertainty in Ecological and Environmental Models. Trends Ecol. Evol. 35, 871–873. https://doi.org/10.1016/j.tree.2020.07.003</w:t>
      </w:r>
    </w:p>
    <w:p w14:paraId="223CC9FD"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Daskalova, G.N., Phillimore, A.B., Myers</w:t>
      </w:r>
      <w:r w:rsidRPr="00B3582E">
        <w:rPr>
          <w:rFonts w:ascii="Cambria Math" w:hAnsi="Cambria Math" w:cs="Cambria Math"/>
          <w:noProof/>
          <w:lang w:val="en-GB"/>
        </w:rPr>
        <w:t>‐</w:t>
      </w:r>
      <w:r w:rsidRPr="00B3582E">
        <w:rPr>
          <w:noProof/>
          <w:lang w:val="en-GB"/>
        </w:rPr>
        <w:t>Smith, I.H., 2021.  Accounting for year effects and sampling error in temporal analyses of invertebrate population and biodiversity change: a comment on Seibold et al . 2019 . Insect Conserv. Divers. 14, 149–154. https://doi.org/10.1111/icad.12468</w:t>
      </w:r>
    </w:p>
    <w:p w14:paraId="111DC006"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Edeling, W., Arabnejad, H., Sinclair, R., Suleimenova, D., Gopalakrishnan, K., Bosak, B., Groen, D., Mahmood, I., Crommelin, D., Coveney, P. V., 2021. The impact of uncertainty on predictions of the CovidSim epidemiological code. Nat. Comput. Sci. 1, 128–135. https://doi.org/10.1038/s43588-021-00028-9</w:t>
      </w:r>
    </w:p>
    <w:p w14:paraId="3D5C5E7D"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Fan, X., Gu, Y., Liou, K.N., Lee, W.L., Zhao, B., Chen, H., Lu, D., 2019. Modeling study of the impact of complex terrain on the surface energy and hydrology over the Tibetan Plateau. Clim. Dyn. 53, 6919–6932. https://doi.org/10.1007/s00382-019-04966-z</w:t>
      </w:r>
    </w:p>
    <w:p w14:paraId="1BA1BB5D"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Fernandes, M., Walls, L., Munson, S., Hullman, J., Kay, M., 2018. Uncertainty displays using quantile dotplots or CDFs improve transit decision-making. Conf. Hum. Factors Comput. Syst. - Proc. 2018-April. https://doi.org/10.1145/3173574.3173718</w:t>
      </w:r>
    </w:p>
    <w:p w14:paraId="269DA7C4"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Fischhoff, B., Davis, A.L., 2014. Communicating scientific uncertainty. PNAS 111, 13664–13671. https://doi.org/10.1073/pnas.1317504111</w:t>
      </w:r>
    </w:p>
    <w:p w14:paraId="0939E0E6"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Fuller, W.A., 1987. Measurement Error Models. John Wiley &amp; Sons, Inc.</w:t>
      </w:r>
    </w:p>
    <w:p w14:paraId="0C75911A"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Gattuso, J.-P., Epitalon, J.-M., Lavigne, H., 2019. seacard: Seawater Carbonate Chemistry. R package version 3.2.12.</w:t>
      </w:r>
    </w:p>
    <w:p w14:paraId="154C591B"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Gimenez, O., Rossi, V., Choquet, R., Dehais, C., Doris, B., Varella, H., Vila, J.P., Pradel, R., 2007. State-space modelling of data on marked individuals. Ecol. Modell. 206, 431–438. https://doi.org/10.1016/j.ecolmodel.2007.03.040</w:t>
      </w:r>
    </w:p>
    <w:p w14:paraId="2D031F4D"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Grenyer, A., Erkoyuncu, J.A., Zhao, Y., Roy, R., 2021. A systematic review of multivariate uncertainty quantification for engineering systems. CIRP J. Manuf. Sci. Technol. 33, 188–208. https://doi.org/10.1016/j.cirpj.2021.03.004</w:t>
      </w:r>
    </w:p>
    <w:p w14:paraId="6BD4932E"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Gustafson, A., Rice, R.E., 2020. A review of the effects of uncertainty in public science communication. Public Underst. Sci. 29, 614–633. https://doi.org/10.1177/0963662520942122</w:t>
      </w:r>
    </w:p>
    <w:p w14:paraId="551F2D1E"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 xml:space="preserve">Han, P.K.J., Klein, W.M.P., Arora, N.K., 2011. Varieties of Uncertainty in Health Care: A Conceptual </w:t>
      </w:r>
      <w:r w:rsidRPr="00B3582E">
        <w:rPr>
          <w:noProof/>
          <w:lang w:val="en-GB"/>
        </w:rPr>
        <w:lastRenderedPageBreak/>
        <w:t>Taxonomy. Med. Decis. Mak. 31, 828–838. https://doi.org/10.1177/0272989x11393976</w:t>
      </w:r>
    </w:p>
    <w:p w14:paraId="2812B6D6"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Han, P.K.J., Zikmund-Fisher, B.J., Duarte, C.W., Knaus, M., Black, A., Scherer, A.M., Fagerlin, A., 2018a. Communication of Scientific Uncertainty about a Novel Pandemic Health Threat: Ambiguity Aversion and Its Mechanisms. J. Health Commun. 23, 435–444. https://doi.org/10.1080/10810730.2018.1461961</w:t>
      </w:r>
    </w:p>
    <w:p w14:paraId="70FCE889"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Han, P.K.J., Zikmund-Fisher, B.J., Duarte, C.W., Knaus, M., Black, A., Scherer, A.M., Fagerlin, A., 2018b. Communication of Scientific Uncertainty about a Novel Pandemic Health Threat: Ambiguity Aversion and Its Mechanisms. J. Health Commun. 23, 435–444. https://doi.org/10.1080/10810730.2018.1461961</w:t>
      </w:r>
    </w:p>
    <w:p w14:paraId="3171C3D6"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Heisser, T., Peng, L., Weigl, K., Hoffmeister, M., Brenner, H., 2019. Outcomes at follow-up of negative colonoscopy in average risk population: Systematic review and meta-analysis. BMJ 367, 1–10. https://doi.org/10.1136/bmj.l6109</w:t>
      </w:r>
    </w:p>
    <w:p w14:paraId="7472AA27"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Held, I.M., 2005. The gap between simulation and understanding in climate modeling. Bull. Am. Meteorol. Soc. 86, 1609–1614. https://doi.org/10.1175/BAMS-86-11-1609</w:t>
      </w:r>
    </w:p>
    <w:p w14:paraId="6DF689F5"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Ho, E., Budescu, D. V., 2019. Climate uncertainty communication. Nat. Clim. Chang. 9, 802–808.</w:t>
      </w:r>
    </w:p>
    <w:p w14:paraId="26177C82"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Hollyer, J.R., Rosendorff, B.P., Vreeland, J.R., 2011. Democracy and transparency. J. Polit. 73, 1191–1205. https://doi.org/10.1017/S0022381611000880</w:t>
      </w:r>
    </w:p>
    <w:p w14:paraId="6E104E7B"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Howe, L.C., MacInnis, B., Krosnick, J.A., Markowitz, E.M., Socolow, R., 2019a. Acknowledging uncertainty impacts public acceptance of climate scientists’ predictions. Nat. Clim. Chang. 9, 863–867. https://doi.org/10.1038/s41558-019-0587-5</w:t>
      </w:r>
    </w:p>
    <w:p w14:paraId="029FBAED"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Howe, L.C., MacInnis, B., Krosnick, J.A., Markowitz, E.M., Socolow, R., 2019b. Acknowledging uncertainty impacts public acceptance of climate scientists’ predictions. Nat. Clim. Chang. 9, 863–867. https://doi.org/10.1038/s41558-019-0587-5</w:t>
      </w:r>
    </w:p>
    <w:p w14:paraId="44D2BB7D"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IPCC, 2013. IPCC Fifth Assessment Report. IPCC.</w:t>
      </w:r>
    </w:p>
    <w:p w14:paraId="636F7663"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James, L.P., Salomon, J.A., Buckee, C.O., Menzies, N.A., 2021. The Use and Misuse of Mathematical Modeling for Infectious Disease Policymaking: Lessons for the COVID-19 Pandemic. Med. Decis. Mak. 41, 379–385. https://doi.org/10.1177/0272989X21990391</w:t>
      </w:r>
    </w:p>
    <w:p w14:paraId="461DABDA"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Jarvis, B., 2018. The Insect Apolocalypse Is Here. N. Y. Times Mag. 41.</w:t>
      </w:r>
    </w:p>
    <w:p w14:paraId="7B5695A5"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JCGM, 2008. ISO.IEC Guide 98-3:2008: Uncertainty of Measurement -- Part 3: Guide to the Expression of Uncertainty in Measurement (GUM: 1995).</w:t>
      </w:r>
    </w:p>
    <w:p w14:paraId="43B7D7C6"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Koo, K.A., Park, S.U., Kong, W.-S., Hong, S., Jang, I., Seo, C., 2017. Potential climate change effects on tree distributions in the Korean Peninsula: Understanding model &amp;amp; climate uncertainties. Ecol. Modell. 353, 17–27. https://doi.org/10.1016/j.ecolmodel.2016.10.007</w:t>
      </w:r>
    </w:p>
    <w:p w14:paraId="7EDD9214"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Kreps, S.E., Kriner, D.L., 2020. Model uncertainty, political contestation, and public trust in science: Evidence from the COVID-19 pandemic. Sci. Adv. 6, eabd4563. https://doi.org/10.1126/sciadv.abd4563</w:t>
      </w:r>
    </w:p>
    <w:p w14:paraId="153A1097"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Martínez, L.R., 2022. How Much Should We Trust the Dictator’s GDP Growth Estimates? J. Polit. Econ. 130. https://doi.org/10.1086/720458</w:t>
      </w:r>
    </w:p>
    <w:p w14:paraId="6F9B2620"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McNamara, J.M., Harding, K.C., 2004. Measurement error and estimates of population extinction risk. Ecol. Lett. 7, 16–20. https://doi.org/10.1046/j.1461-0248.2003.00550.x</w:t>
      </w:r>
    </w:p>
    <w:p w14:paraId="2E129F73"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Meehan, M.T., Rojas, D.P., Adekunle, A.I., Adegboye, O.A., Caldwell, J.M., Turek, E., Williams, B.M., Marais, B.J., Trauer, J.M., McBryde, E.S., 2020. Modelling insights into the COVID-19 pandemic. Paediatr. Respir. Rev. 35, 64–69. https://doi.org/10.1016/j.prrv.2020.06.014</w:t>
      </w:r>
    </w:p>
    <w:p w14:paraId="1B7BC224"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Merz, B., Thieken, A.H., 2005. Separating natural and epistemic uncertainty in flood frequency analysis. J. Hydrol. 309, 114–132. https://doi.org/10.1016/j.jhydrol.2004.11.015</w:t>
      </w:r>
    </w:p>
    <w:p w14:paraId="75D39DDD"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Milner-Gulland, E.J., Shea, K., 2017. Embracing uncertainty in applied ecology. J. Appl. Ecol. 54, 2063–2068. https://doi.org/10.1111/1365-2664.12887</w:t>
      </w:r>
    </w:p>
    <w:p w14:paraId="525C2FBB"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O’Grady, T., 2019. How do Economic Circumstances Determine Preferences? Evidence from Long-run Panel Data. Br. J. Polit. Sci. 49, 1381–1406. https://doi.org/10.1017/S0007123417000242</w:t>
      </w:r>
    </w:p>
    <w:p w14:paraId="359FE9EF"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Pagel, C., Yates, C.A., 2022. Role of mathematical modelling in future pandemic response policy. BMJ 378, e070615. https://doi.org/10.1136/bmj-2022-070615</w:t>
      </w:r>
    </w:p>
    <w:p w14:paraId="52DE36DC"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Palliser, A., Dodson, G., 2017. Uncertainty, complexity and controversy in dolphin threat management: A role for post-normal science? Environ. Sci. Policy 78, 74–80. https://doi.org/10.1016/j.envsci.2017.09.004</w:t>
      </w:r>
    </w:p>
    <w:p w14:paraId="31EB893D"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Palmer, T.N., Hardaker, P.J., 2011. Handling uncertainty in science. Philos. Trans. R. Soc. A Math. Phys. Eng. Sci. 369, 4681–4684. https://doi.org/10.1098/rsta.2011.0280</w:t>
      </w:r>
    </w:p>
    <w:p w14:paraId="33FCB18B"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lastRenderedPageBreak/>
        <w:t>Patt, A.G., Weber, E.U., 2014. Perceptions and communication strategies for the many uncertainties relevant for climate policy. Wiley Interdiscip. Rev. Clim. Chang. 5, 219–232. https://doi.org/10.1002/wcc.259</w:t>
      </w:r>
    </w:p>
    <w:p w14:paraId="0033E6CF"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Pearson, K., 1902. On the Mathematical Theory of Errors of Judgement, with Special Reference to the Personal Equation. R. Soc. Proc. 60, 235–290.</w:t>
      </w:r>
    </w:p>
    <w:p w14:paraId="622A4759"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R Core Team, 2022. R: A Language and Environment for Statistical Computing.</w:t>
      </w:r>
    </w:p>
    <w:p w14:paraId="0B000B5C"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Refsgaard, J.C., van der Sluijs, J.P., Højberg, A.L., Vanrolleghem, P.A., 2007. Uncertainty in the environmental modelling process - A framework and guidance. Environ. Model. Softw. 22, 1543–1556. https://doi.org/10.1016/j.envsoft.2007.02.004</w:t>
      </w:r>
    </w:p>
    <w:p w14:paraId="1BC08B1C"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Regan, H.M., Colyvan, M., Burgman, M.A., 2002. A taxonomy and treatment of uncertainty for ecology and conservation biology. Ecol. Appl. 12, 618–628. https://doi.org/10.1890/1051-0761(2002)012[0618:ATATOU]2.0.CO;2</w:t>
      </w:r>
    </w:p>
    <w:p w14:paraId="44A57DF9"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Rigdon, E.E., Sarstedt, M., Becker, J.-M., 2020. Quantify uncertainty in behavioral research. Nat. Hum. Behav. 4, 329–331. https://doi.org/10.1038/s41562-019-0806-0</w:t>
      </w:r>
    </w:p>
    <w:p w14:paraId="1BDE9A44"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Roberts, S., 2020. Embracing the Uncertainties - The New York Times. New York Times Section A, p4.</w:t>
      </w:r>
    </w:p>
    <w:p w14:paraId="45D0F041"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Rounsevell, M.D.A., Arneth, A., Brown, C., Cheung, W.W.L., Gimenez, O., Holman, I., Leadley, P., Luján, C., Mahevas, S., Maréchaux, I., Pélissier, R., Verburg, P.H., Vieilledent, G., Wintle, B.A., Yunne-Jai Shin, 2021. Identifying uncertainties in scenarios and models of socio-ecological systems in support of decision-making. One Earth 4, 967–985.</w:t>
      </w:r>
    </w:p>
    <w:p w14:paraId="7B9DC760"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Saderne, V., Baldry, K., Anton, A., Agustí, S., Duarte, C.M., 2019. Characterization of the CO2 System in a Coral Reef, a Seagrass Meadow, and a Mangrove Forest in the Central Red Sea. J. Geophys. Res. Ocean. 124, 7513–7528. https://doi.org/10.1029/2019JC015266</w:t>
      </w:r>
    </w:p>
    <w:p w14:paraId="6EF69EF0"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Saltelli, A., 2019. A short comment on statistical versus mathematical modelling. Nat. Commun. 10, 1–3. https://doi.org/10.1038/s41467-019-11865-8</w:t>
      </w:r>
    </w:p>
    <w:p w14:paraId="063C6124"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Seibold, S., Gossner, M.M., Simons, N.K., Blüthgen, N., Müller, J., Ambarlı, D., Ammer, C., Bauhus, J., Fischer, M., Habel, J.C., Linsenmair, K.E., Nauss, T., Penone, C., Prati, D., Schall, P., Schulze, E.D., Vogt, J., Wöllauer, S., Weisser, W.W., 2019. Arthropod decline in grasslands and forests is associated with landscape-level drivers. Nature 574, 671–674. https://doi.org/10.1038/s41586-019-1684-3</w:t>
      </w:r>
    </w:p>
    <w:p w14:paraId="5567509C"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Van Der Bles, A.M., Van Der Linden, S., Freeman, A.L.J., Mitchell, J., Galvao, A.B., Zaval, L., Spiegelhalter, D.J., 2019. Communicating uncertainty about facts, numbers and science. R. Soc. Open Sci. 6, 181870. https://doi.org/10.1098/rsos.181870</w:t>
      </w:r>
    </w:p>
    <w:p w14:paraId="778C42CA"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Van Der Laan, D.J., De Jonge, E., Solcer, J., 2015. Effect of displaying uncertainty in line and bar charts: Presentation and interpretation, in: IVAPP 2015 - 6th International Conference on Information Visualization Theory and Applications; VISIGRAPP, Proceedings. pp. 225–232. https://doi.org/10.5220/0005300702250232</w:t>
      </w:r>
    </w:p>
    <w:p w14:paraId="5AEB4295"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Volodina, V., Challenor, P., 2021. The importance of uncertainty quantification in model reproducibility. Philos. Trans. A. Math. Phys. Eng. Sci. 379, 20200071. https://doi.org/10.1098/rsta.2020.0071</w:t>
      </w:r>
    </w:p>
    <w:p w14:paraId="0E662A12"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Walker, W.E., Harremoës, P., Rotmans, J., van der Sluijs, J.P., van Asselt, M.B.A., Janssen, P., Krayer von Krauss, M.P., 2003. Defining Uncertainty: A Conceptual Basis for Uncertainty Management in Model-Based Decision Support. Integr. Assess. 4, 5–17. https://doi.org/10.1076/iaij.4.1.5.16466</w:t>
      </w:r>
    </w:p>
    <w:p w14:paraId="0068A326" w14:textId="77777777" w:rsidR="00B3582E" w:rsidRPr="00B3582E" w:rsidRDefault="00B3582E" w:rsidP="00B3582E">
      <w:pPr>
        <w:widowControl w:val="0"/>
        <w:autoSpaceDE w:val="0"/>
        <w:autoSpaceDN w:val="0"/>
        <w:adjustRightInd w:val="0"/>
        <w:spacing w:line="240" w:lineRule="auto"/>
        <w:ind w:left="480" w:hanging="480"/>
        <w:rPr>
          <w:noProof/>
          <w:lang w:val="en-GB"/>
        </w:rPr>
      </w:pPr>
      <w:r w:rsidRPr="00B3582E">
        <w:rPr>
          <w:noProof/>
          <w:lang w:val="en-GB"/>
        </w:rPr>
        <w:t>Wallsten, T.S., Budescu, D. V., Rapoport, A., Zwick, R., Forsyth, B., 1986. Measuring the Vague Meanings of Probability Terms. J. Exp. Psychol. Gen. 115, 348–365. https://doi.org/10.1037/0096-3445.115.4.348</w:t>
      </w:r>
    </w:p>
    <w:p w14:paraId="49479B88" w14:textId="77777777" w:rsidR="00B3582E" w:rsidRPr="00B3582E" w:rsidRDefault="00B3582E" w:rsidP="00B3582E">
      <w:pPr>
        <w:widowControl w:val="0"/>
        <w:autoSpaceDE w:val="0"/>
        <w:autoSpaceDN w:val="0"/>
        <w:adjustRightInd w:val="0"/>
        <w:spacing w:line="240" w:lineRule="auto"/>
        <w:ind w:left="480" w:hanging="480"/>
        <w:rPr>
          <w:noProof/>
        </w:rPr>
      </w:pPr>
      <w:r w:rsidRPr="00B3582E">
        <w:rPr>
          <w:noProof/>
          <w:lang w:val="en-GB"/>
        </w:rPr>
        <w:t>World Health Organisation, 2017. Communicating Risk in Public Health Emergencies, A WHO guideline for emergency risk communication (ERC) policy and practice.</w:t>
      </w:r>
    </w:p>
    <w:p w14:paraId="70EDC053" w14:textId="5B26891F" w:rsidR="00644FDF" w:rsidRPr="00B80356" w:rsidRDefault="00B3582E" w:rsidP="00B3582E">
      <w:pPr>
        <w:rPr>
          <w:lang w:val="en-GB"/>
        </w:rPr>
      </w:pPr>
      <w:r>
        <w:rPr>
          <w:lang w:val="en-GB"/>
        </w:rPr>
        <w:fldChar w:fldCharType="end"/>
      </w:r>
    </w:p>
    <w:p w14:paraId="6BF8233D" w14:textId="77777777" w:rsidR="00644FDF" w:rsidRDefault="00644FDF">
      <w:pPr>
        <w:ind w:left="1280" w:hanging="640"/>
        <w:rPr>
          <w:sz w:val="24"/>
          <w:szCs w:val="24"/>
          <w:lang w:val="en-GB"/>
        </w:rPr>
      </w:pPr>
    </w:p>
    <w:p w14:paraId="296CDB5D" w14:textId="77777777" w:rsidR="00644FDF" w:rsidRDefault="00C732FA">
      <w:pPr>
        <w:rPr>
          <w:b/>
          <w:sz w:val="28"/>
          <w:szCs w:val="28"/>
          <w:lang w:val="en-GB"/>
        </w:rPr>
      </w:pPr>
      <w:r>
        <w:rPr>
          <w:b/>
          <w:sz w:val="28"/>
          <w:szCs w:val="28"/>
          <w:lang w:val="en-GB"/>
        </w:rPr>
        <w:t>Figure legends:</w:t>
      </w:r>
    </w:p>
    <w:p w14:paraId="50285088" w14:textId="77777777" w:rsidR="00644FDF" w:rsidRDefault="00644FDF">
      <w:pPr>
        <w:rPr>
          <w:b/>
          <w:sz w:val="28"/>
          <w:szCs w:val="28"/>
          <w:lang w:val="en-GB"/>
        </w:rPr>
      </w:pPr>
    </w:p>
    <w:p w14:paraId="45CF33F7" w14:textId="77777777" w:rsidR="008354E8" w:rsidRDefault="008354E8" w:rsidP="008354E8">
      <w:pPr>
        <w:rPr>
          <w:b/>
          <w:sz w:val="28"/>
          <w:szCs w:val="28"/>
          <w:lang w:val="en-GB"/>
        </w:rPr>
      </w:pPr>
      <w:r>
        <w:rPr>
          <w:b/>
          <w:sz w:val="28"/>
          <w:szCs w:val="28"/>
          <w:lang w:val="en-GB"/>
        </w:rPr>
        <w:t>Figure legends</w:t>
      </w:r>
      <w:r w:rsidRPr="001E2B97">
        <w:rPr>
          <w:b/>
          <w:sz w:val="28"/>
          <w:szCs w:val="28"/>
          <w:lang w:val="en-GB"/>
        </w:rPr>
        <w:t>:</w:t>
      </w:r>
    </w:p>
    <w:p w14:paraId="390954D6" w14:textId="77777777" w:rsidR="008354E8" w:rsidRDefault="008354E8" w:rsidP="008354E8">
      <w:pPr>
        <w:rPr>
          <w:b/>
          <w:sz w:val="28"/>
          <w:szCs w:val="28"/>
          <w:lang w:val="en-GB"/>
        </w:rPr>
      </w:pPr>
    </w:p>
    <w:p w14:paraId="360861DF" w14:textId="413F89EC" w:rsidR="008354E8" w:rsidRPr="00535C82" w:rsidRDefault="008354E8" w:rsidP="008354E8">
      <w:pPr>
        <w:rPr>
          <w:iCs/>
          <w:sz w:val="20"/>
          <w:szCs w:val="20"/>
          <w:lang w:val="en-GB"/>
        </w:rPr>
      </w:pPr>
      <w:r>
        <w:rPr>
          <w:b/>
          <w:bCs/>
          <w:i/>
          <w:sz w:val="20"/>
          <w:szCs w:val="20"/>
          <w:lang w:val="en-GB"/>
        </w:rPr>
        <w:t>Figure</w:t>
      </w:r>
      <w:r w:rsidRPr="000828D9">
        <w:rPr>
          <w:b/>
          <w:bCs/>
          <w:i/>
          <w:sz w:val="20"/>
          <w:szCs w:val="20"/>
          <w:lang w:val="en-GB"/>
        </w:rPr>
        <w:t xml:space="preserve"> 1: Heat map of the percentage of papers that report uncertainty from each source split by field.</w:t>
      </w:r>
      <w:r w:rsidRPr="001E2B97">
        <w:rPr>
          <w:i/>
          <w:sz w:val="20"/>
          <w:szCs w:val="20"/>
          <w:lang w:val="en-GB"/>
        </w:rPr>
        <w:t xml:space="preserve"> </w:t>
      </w:r>
      <w:r w:rsidR="00173395">
        <w:rPr>
          <w:i/>
          <w:sz w:val="20"/>
          <w:szCs w:val="20"/>
          <w:lang w:val="en-GB"/>
        </w:rPr>
        <w:t xml:space="preserve">Positive results include papers that quantified and reported uncertainty arising from each source, when uncertainty was applicable. Cases where no uncertainty was present in a source were removed. Only one focal model was considered </w:t>
      </w:r>
      <w:r w:rsidR="00173395">
        <w:rPr>
          <w:i/>
          <w:sz w:val="20"/>
          <w:szCs w:val="20"/>
          <w:lang w:val="en-GB"/>
        </w:rPr>
        <w:lastRenderedPageBreak/>
        <w:t>per paper assessed. (</w:t>
      </w:r>
      <w:r w:rsidR="00173395" w:rsidRPr="00E45F34">
        <w:rPr>
          <w:i/>
          <w:sz w:val="20"/>
          <w:szCs w:val="20"/>
          <w:lang w:val="en-GB"/>
        </w:rPr>
        <w:t>N = 6</w:t>
      </w:r>
      <w:r w:rsidR="00B80356">
        <w:rPr>
          <w:i/>
          <w:sz w:val="20"/>
          <w:szCs w:val="20"/>
          <w:lang w:val="en-GB"/>
        </w:rPr>
        <w:t>6</w:t>
      </w:r>
      <w:r w:rsidR="00173395" w:rsidRPr="00E45F34">
        <w:rPr>
          <w:i/>
          <w:sz w:val="20"/>
          <w:szCs w:val="20"/>
          <w:lang w:val="en-GB"/>
        </w:rPr>
        <w:t xml:space="preserve"> for Climate Science, 89 for Ecology, 55 for Evolution, 33 for Health Science, 88 for Neuroscience, 38 for Oceanography, and 81 for Political Science</w:t>
      </w:r>
      <w:r w:rsidR="00173395">
        <w:rPr>
          <w:i/>
          <w:sz w:val="20"/>
          <w:szCs w:val="20"/>
          <w:lang w:val="en-GB"/>
        </w:rPr>
        <w:t>)</w:t>
      </w:r>
    </w:p>
    <w:p w14:paraId="7A9F7077" w14:textId="77777777" w:rsidR="008354E8" w:rsidRPr="001E2B97" w:rsidRDefault="008354E8" w:rsidP="008354E8">
      <w:pPr>
        <w:rPr>
          <w:b/>
          <w:sz w:val="28"/>
          <w:szCs w:val="28"/>
          <w:lang w:val="en-GB"/>
        </w:rPr>
      </w:pPr>
    </w:p>
    <w:p w14:paraId="51AA77DF" w14:textId="77777777" w:rsidR="008354E8" w:rsidRPr="00535C82" w:rsidRDefault="008354E8" w:rsidP="008354E8">
      <w:pPr>
        <w:rPr>
          <w:iCs/>
          <w:sz w:val="20"/>
          <w:szCs w:val="20"/>
          <w:lang w:val="en-GB"/>
        </w:rPr>
      </w:pPr>
      <w:r>
        <w:rPr>
          <w:b/>
          <w:bCs/>
          <w:i/>
          <w:sz w:val="20"/>
          <w:szCs w:val="20"/>
          <w:lang w:val="en-GB"/>
        </w:rPr>
        <w:t>Figure</w:t>
      </w:r>
      <w:r w:rsidRPr="00240770">
        <w:rPr>
          <w:b/>
          <w:bCs/>
          <w:i/>
          <w:sz w:val="20"/>
          <w:szCs w:val="20"/>
          <w:lang w:val="en-GB"/>
        </w:rPr>
        <w:t xml:space="preserve"> 2: Distribution of different model types by uncertainty component and field</w:t>
      </w:r>
      <w:r>
        <w:rPr>
          <w:i/>
          <w:sz w:val="20"/>
          <w:szCs w:val="20"/>
          <w:lang w:val="en-GB"/>
        </w:rPr>
        <w:t xml:space="preserve">. </w:t>
      </w:r>
      <w:r w:rsidRPr="001E2B97">
        <w:rPr>
          <w:i/>
          <w:sz w:val="20"/>
          <w:szCs w:val="20"/>
          <w:lang w:val="en-GB"/>
        </w:rPr>
        <w:t>A. Presentation of the percentage of models in which there was uncertainty reported, uncertainty missing or no applicable uncertainty for each source component (uncertainty was deemed not applicable if either the component was not relevant to the model or if there was no uncertainty in that component). (N = 57 for dynamical models (including mechanistic), 241 for statistical models, 12 for theoretical models or hybrid statistical/theoretical models). B. Percentage of model type assessed by field.</w:t>
      </w:r>
      <w:r>
        <w:rPr>
          <w:i/>
          <w:sz w:val="20"/>
          <w:szCs w:val="20"/>
          <w:lang w:val="en-GB"/>
        </w:rPr>
        <w:t xml:space="preserve"> </w:t>
      </w:r>
    </w:p>
    <w:p w14:paraId="13C57C8F" w14:textId="77777777" w:rsidR="008354E8" w:rsidRDefault="008354E8" w:rsidP="008354E8">
      <w:pPr>
        <w:rPr>
          <w:sz w:val="24"/>
          <w:szCs w:val="24"/>
          <w:lang w:val="en-GB"/>
        </w:rPr>
      </w:pPr>
    </w:p>
    <w:p w14:paraId="1A48258F" w14:textId="77777777" w:rsidR="008354E8" w:rsidRPr="00E83798" w:rsidRDefault="008354E8" w:rsidP="008354E8">
      <w:pPr>
        <w:rPr>
          <w:lang w:val="en-GB"/>
        </w:rPr>
      </w:pPr>
      <w:r>
        <w:rPr>
          <w:b/>
          <w:bCs/>
          <w:i/>
          <w:sz w:val="20"/>
          <w:szCs w:val="20"/>
          <w:lang w:val="en-GB"/>
        </w:rPr>
        <w:t>Figure</w:t>
      </w:r>
      <w:r w:rsidRPr="00240770">
        <w:rPr>
          <w:b/>
          <w:bCs/>
          <w:i/>
          <w:sz w:val="20"/>
          <w:szCs w:val="20"/>
          <w:lang w:val="en-GB"/>
        </w:rPr>
        <w:t xml:space="preserve"> 3: Venn diagrams of presentation methods for uncertainty (legend in the centre) by field.</w:t>
      </w:r>
      <w:r w:rsidRPr="001E2B97">
        <w:rPr>
          <w:i/>
          <w:sz w:val="20"/>
          <w:szCs w:val="20"/>
          <w:lang w:val="en-GB"/>
        </w:rPr>
        <w:t xml:space="preserve"> Black edged segments are our good practice recommendation of visual + numeric or visual + numeric + text.</w:t>
      </w:r>
      <w:r w:rsidRPr="001E2B97">
        <w:rPr>
          <w:sz w:val="24"/>
          <w:szCs w:val="24"/>
          <w:lang w:val="en-GB"/>
        </w:rPr>
        <w:t xml:space="preserve"> </w:t>
      </w:r>
    </w:p>
    <w:p w14:paraId="21437EA3" w14:textId="33C3D072" w:rsidR="00B95DAC" w:rsidRDefault="00B95DAC" w:rsidP="008354E8">
      <w:pPr>
        <w:rPr>
          <w:sz w:val="24"/>
          <w:szCs w:val="24"/>
          <w:lang w:val="en-GB"/>
        </w:rPr>
      </w:pPr>
    </w:p>
    <w:p w14:paraId="7A2063C0" w14:textId="77777777" w:rsidR="00B95DAC" w:rsidRDefault="00B95DAC" w:rsidP="008354E8">
      <w:pPr>
        <w:rPr>
          <w:sz w:val="24"/>
          <w:szCs w:val="24"/>
          <w:lang w:val="en-GB"/>
        </w:rPr>
      </w:pPr>
    </w:p>
    <w:p w14:paraId="6F9D6170" w14:textId="77777777" w:rsidR="008354E8" w:rsidRPr="00982012" w:rsidRDefault="008354E8" w:rsidP="008354E8">
      <w:pPr>
        <w:rPr>
          <w:b/>
          <w:sz w:val="24"/>
          <w:szCs w:val="24"/>
        </w:rPr>
      </w:pPr>
      <w:r w:rsidRPr="00982012">
        <w:rPr>
          <w:b/>
          <w:sz w:val="24"/>
          <w:szCs w:val="24"/>
        </w:rPr>
        <w:t>STAR methods</w:t>
      </w:r>
    </w:p>
    <w:p w14:paraId="03AFE9F2" w14:textId="77777777" w:rsidR="008354E8" w:rsidRPr="003C46D1" w:rsidRDefault="008354E8" w:rsidP="008354E8">
      <w:pPr>
        <w:rPr>
          <w:b/>
        </w:rPr>
      </w:pPr>
    </w:p>
    <w:p w14:paraId="0EAE9DE4" w14:textId="77777777" w:rsidR="008354E8" w:rsidRPr="009A29E4" w:rsidRDefault="008354E8" w:rsidP="008354E8">
      <w:pPr>
        <w:rPr>
          <w:b/>
          <w:bCs/>
          <w:i/>
          <w:iCs/>
          <w:sz w:val="24"/>
          <w:szCs w:val="24"/>
        </w:rPr>
      </w:pPr>
      <w:r w:rsidRPr="009A29E4">
        <w:rPr>
          <w:b/>
          <w:bCs/>
          <w:i/>
          <w:iCs/>
          <w:sz w:val="24"/>
          <w:szCs w:val="24"/>
        </w:rPr>
        <w:t>Lead contact</w:t>
      </w:r>
    </w:p>
    <w:p w14:paraId="5BEBF769" w14:textId="77777777" w:rsidR="008354E8" w:rsidRPr="003C46D1" w:rsidRDefault="008354E8" w:rsidP="008354E8">
      <w:pPr>
        <w:pStyle w:val="Default"/>
        <w:rPr>
          <w:sz w:val="22"/>
          <w:szCs w:val="22"/>
        </w:rPr>
      </w:pPr>
    </w:p>
    <w:p w14:paraId="067F7135" w14:textId="77777777" w:rsidR="008354E8" w:rsidRPr="003C46D1" w:rsidRDefault="008354E8" w:rsidP="008354E8">
      <w:pPr>
        <w:pStyle w:val="Default"/>
        <w:rPr>
          <w:sz w:val="22"/>
          <w:szCs w:val="22"/>
        </w:rPr>
      </w:pPr>
      <w:r w:rsidRPr="003C46D1">
        <w:rPr>
          <w:sz w:val="22"/>
          <w:szCs w:val="22"/>
        </w:rPr>
        <w:t xml:space="preserve">Further information and requests for resources and reagents should be directed to and will be fulfilled by the lead contact, Emily G. Simmonds (emilygsimmonds@gmail.com). </w:t>
      </w:r>
    </w:p>
    <w:p w14:paraId="6226AD9B" w14:textId="77777777" w:rsidR="008354E8" w:rsidRDefault="008354E8" w:rsidP="008354E8">
      <w:pPr>
        <w:pStyle w:val="Default"/>
        <w:rPr>
          <w:sz w:val="20"/>
          <w:szCs w:val="20"/>
        </w:rPr>
      </w:pPr>
    </w:p>
    <w:p w14:paraId="00DF0BB9" w14:textId="77777777" w:rsidR="008354E8" w:rsidRPr="009A29E4" w:rsidRDefault="008354E8" w:rsidP="008354E8">
      <w:pPr>
        <w:pStyle w:val="Default"/>
        <w:rPr>
          <w:b/>
          <w:bCs/>
          <w:i/>
          <w:iCs/>
        </w:rPr>
      </w:pPr>
      <w:r w:rsidRPr="009A29E4">
        <w:rPr>
          <w:b/>
          <w:bCs/>
          <w:i/>
          <w:iCs/>
        </w:rPr>
        <w:t>Materials availability</w:t>
      </w:r>
    </w:p>
    <w:p w14:paraId="07D167B7" w14:textId="77777777" w:rsidR="008354E8" w:rsidRPr="0038681D" w:rsidRDefault="008354E8" w:rsidP="008354E8">
      <w:pPr>
        <w:pStyle w:val="Default"/>
        <w:rPr>
          <w:b/>
          <w:bCs/>
          <w:i/>
          <w:iCs/>
          <w:sz w:val="22"/>
          <w:szCs w:val="22"/>
        </w:rPr>
      </w:pPr>
    </w:p>
    <w:p w14:paraId="0784911B" w14:textId="77777777" w:rsidR="008354E8" w:rsidRPr="0038681D" w:rsidRDefault="008354E8" w:rsidP="008354E8">
      <w:pPr>
        <w:pStyle w:val="Default"/>
        <w:rPr>
          <w:sz w:val="22"/>
          <w:szCs w:val="22"/>
        </w:rPr>
      </w:pPr>
      <w:r w:rsidRPr="0038681D">
        <w:rPr>
          <w:sz w:val="22"/>
          <w:szCs w:val="22"/>
        </w:rPr>
        <w:t>This study did not generate any new materials.</w:t>
      </w:r>
    </w:p>
    <w:p w14:paraId="03BF6B94" w14:textId="77777777" w:rsidR="008354E8" w:rsidRPr="0038681D" w:rsidRDefault="008354E8" w:rsidP="008354E8">
      <w:pPr>
        <w:pStyle w:val="Default"/>
        <w:rPr>
          <w:sz w:val="22"/>
          <w:szCs w:val="22"/>
        </w:rPr>
      </w:pPr>
    </w:p>
    <w:p w14:paraId="618EAF6B" w14:textId="77777777" w:rsidR="008354E8" w:rsidRPr="009A29E4" w:rsidRDefault="008354E8" w:rsidP="008354E8">
      <w:pPr>
        <w:pStyle w:val="Default"/>
      </w:pPr>
      <w:r w:rsidRPr="009A29E4">
        <w:rPr>
          <w:b/>
          <w:bCs/>
          <w:i/>
          <w:iCs/>
        </w:rPr>
        <w:t>Data and code availability</w:t>
      </w:r>
    </w:p>
    <w:p w14:paraId="39EC893B" w14:textId="77777777" w:rsidR="008354E8" w:rsidRPr="0038681D" w:rsidRDefault="008354E8" w:rsidP="008354E8">
      <w:pPr>
        <w:rPr>
          <w:b/>
        </w:rPr>
      </w:pPr>
    </w:p>
    <w:p w14:paraId="42596710" w14:textId="77777777" w:rsidR="008354E8" w:rsidRPr="0038681D" w:rsidRDefault="008354E8" w:rsidP="008354E8">
      <w:pPr>
        <w:rPr>
          <w:bCs/>
        </w:rPr>
      </w:pPr>
      <w:r w:rsidRPr="0038681D">
        <w:rPr>
          <w:bCs/>
        </w:rPr>
        <w:t xml:space="preserve">Section 1: </w:t>
      </w:r>
    </w:p>
    <w:p w14:paraId="7AD3A75A" w14:textId="77777777" w:rsidR="008354E8" w:rsidRPr="0038681D" w:rsidRDefault="008354E8" w:rsidP="008354E8">
      <w:pPr>
        <w:rPr>
          <w:b/>
        </w:rPr>
      </w:pPr>
    </w:p>
    <w:p w14:paraId="24C82008" w14:textId="6EE9A742" w:rsidR="008354E8" w:rsidRPr="0038681D" w:rsidRDefault="008354E8" w:rsidP="008354E8">
      <w:pPr>
        <w:rPr>
          <w:bCs/>
        </w:rPr>
      </w:pPr>
      <w:r w:rsidRPr="0038681D">
        <w:rPr>
          <w:bCs/>
        </w:rPr>
        <w:t xml:space="preserve">All cleaned data used in this study have been deposited in a </w:t>
      </w:r>
      <w:proofErr w:type="spellStart"/>
      <w:r w:rsidRPr="0038681D">
        <w:rPr>
          <w:bCs/>
        </w:rPr>
        <w:t>Zenodo</w:t>
      </w:r>
      <w:proofErr w:type="spellEnd"/>
      <w:r w:rsidRPr="0038681D">
        <w:rPr>
          <w:bCs/>
        </w:rPr>
        <w:t xml:space="preserve"> repository and are publicly available as of the date of publication. </w:t>
      </w:r>
      <w:r w:rsidRPr="00D44DC2">
        <w:rPr>
          <w:bCs/>
          <w:highlight w:val="yellow"/>
        </w:rPr>
        <w:t xml:space="preserve">The DOI </w:t>
      </w:r>
      <w:r w:rsidR="00D44DC2" w:rsidRPr="00D44DC2">
        <w:rPr>
          <w:bCs/>
          <w:highlight w:val="yellow"/>
        </w:rPr>
        <w:t>to be added on acceptance.</w:t>
      </w:r>
    </w:p>
    <w:p w14:paraId="2C81A1F5" w14:textId="77777777" w:rsidR="008354E8" w:rsidRPr="0038681D" w:rsidRDefault="008354E8" w:rsidP="008354E8">
      <w:pPr>
        <w:rPr>
          <w:bCs/>
        </w:rPr>
      </w:pPr>
    </w:p>
    <w:p w14:paraId="042EFFAF" w14:textId="77777777" w:rsidR="008354E8" w:rsidRPr="0038681D" w:rsidRDefault="008354E8" w:rsidP="008354E8">
      <w:pPr>
        <w:rPr>
          <w:bCs/>
        </w:rPr>
      </w:pPr>
      <w:r w:rsidRPr="0038681D">
        <w:rPr>
          <w:bCs/>
        </w:rPr>
        <w:t>Section 2:</w:t>
      </w:r>
    </w:p>
    <w:p w14:paraId="1A13A196" w14:textId="77777777" w:rsidR="008354E8" w:rsidRPr="0038681D" w:rsidRDefault="008354E8" w:rsidP="008354E8">
      <w:pPr>
        <w:rPr>
          <w:bCs/>
        </w:rPr>
      </w:pPr>
    </w:p>
    <w:p w14:paraId="7E2AB621" w14:textId="76723777" w:rsidR="008354E8" w:rsidRPr="0038681D" w:rsidRDefault="008354E8" w:rsidP="008354E8">
      <w:pPr>
        <w:rPr>
          <w:bCs/>
        </w:rPr>
      </w:pPr>
      <w:r w:rsidRPr="0038681D">
        <w:rPr>
          <w:bCs/>
        </w:rPr>
        <w:t xml:space="preserve">All code used to create the figures for this study has been deposited in a </w:t>
      </w:r>
      <w:proofErr w:type="spellStart"/>
      <w:r w:rsidRPr="0038681D">
        <w:rPr>
          <w:bCs/>
        </w:rPr>
        <w:t>Zenodo</w:t>
      </w:r>
      <w:proofErr w:type="spellEnd"/>
      <w:r w:rsidRPr="0038681D">
        <w:rPr>
          <w:bCs/>
        </w:rPr>
        <w:t xml:space="preserve"> repository alongside the data. </w:t>
      </w:r>
      <w:r w:rsidR="00D44DC2" w:rsidRPr="00D44DC2">
        <w:rPr>
          <w:bCs/>
          <w:highlight w:val="yellow"/>
        </w:rPr>
        <w:t>The DOI to be added on acceptance.</w:t>
      </w:r>
    </w:p>
    <w:p w14:paraId="479A0A7F" w14:textId="77777777" w:rsidR="008354E8" w:rsidRPr="0038681D" w:rsidRDefault="008354E8" w:rsidP="008354E8">
      <w:pPr>
        <w:rPr>
          <w:bCs/>
        </w:rPr>
      </w:pPr>
    </w:p>
    <w:p w14:paraId="7B91835F" w14:textId="77777777" w:rsidR="008354E8" w:rsidRPr="0038681D" w:rsidRDefault="008354E8" w:rsidP="008354E8">
      <w:pPr>
        <w:rPr>
          <w:bCs/>
        </w:rPr>
      </w:pPr>
      <w:r w:rsidRPr="0038681D">
        <w:rPr>
          <w:bCs/>
        </w:rPr>
        <w:t>Section 3:</w:t>
      </w:r>
    </w:p>
    <w:p w14:paraId="1869E088" w14:textId="77777777" w:rsidR="008354E8" w:rsidRPr="0038681D" w:rsidRDefault="008354E8" w:rsidP="008354E8">
      <w:pPr>
        <w:rPr>
          <w:bCs/>
        </w:rPr>
      </w:pPr>
    </w:p>
    <w:p w14:paraId="30D76F30" w14:textId="77777777" w:rsidR="008354E8" w:rsidRPr="0038681D" w:rsidRDefault="008354E8" w:rsidP="008354E8">
      <w:pPr>
        <w:rPr>
          <w:bCs/>
        </w:rPr>
      </w:pPr>
      <w:r w:rsidRPr="0038681D">
        <w:rPr>
          <w:bCs/>
        </w:rPr>
        <w:t xml:space="preserve">Any additional information required to reanalyze the data reported in this paper is available from the lead contact upon request. </w:t>
      </w:r>
    </w:p>
    <w:p w14:paraId="53D15D9A" w14:textId="77777777" w:rsidR="008354E8" w:rsidRPr="0038681D" w:rsidRDefault="008354E8" w:rsidP="008354E8">
      <w:pPr>
        <w:rPr>
          <w:bCs/>
        </w:rPr>
      </w:pPr>
    </w:p>
    <w:p w14:paraId="2200BCA2" w14:textId="77777777" w:rsidR="008354E8" w:rsidRPr="009A29E4" w:rsidRDefault="008354E8" w:rsidP="008354E8">
      <w:pPr>
        <w:rPr>
          <w:b/>
          <w:i/>
          <w:iCs/>
          <w:sz w:val="24"/>
          <w:szCs w:val="24"/>
        </w:rPr>
      </w:pPr>
      <w:r w:rsidRPr="009A29E4">
        <w:rPr>
          <w:b/>
          <w:bCs/>
          <w:i/>
          <w:iCs/>
          <w:sz w:val="24"/>
          <w:szCs w:val="24"/>
        </w:rPr>
        <w:t>Method Details</w:t>
      </w:r>
    </w:p>
    <w:p w14:paraId="1151449B" w14:textId="77777777" w:rsidR="008354E8" w:rsidRDefault="008354E8" w:rsidP="008354E8">
      <w:pPr>
        <w:rPr>
          <w:b/>
          <w:sz w:val="20"/>
          <w:szCs w:val="20"/>
        </w:rPr>
      </w:pPr>
    </w:p>
    <w:p w14:paraId="75C1B929" w14:textId="77777777" w:rsidR="008354E8" w:rsidRPr="009A29E4" w:rsidRDefault="008354E8" w:rsidP="008354E8">
      <w:pPr>
        <w:rPr>
          <w:bCs/>
          <w:i/>
          <w:iCs/>
          <w:sz w:val="24"/>
          <w:szCs w:val="24"/>
        </w:rPr>
      </w:pPr>
      <w:r w:rsidRPr="009A29E4">
        <w:rPr>
          <w:bCs/>
          <w:i/>
          <w:iCs/>
          <w:sz w:val="24"/>
          <w:szCs w:val="24"/>
        </w:rPr>
        <w:t>The framework</w:t>
      </w:r>
    </w:p>
    <w:p w14:paraId="23E94558" w14:textId="77777777" w:rsidR="008354E8" w:rsidRPr="00492A76" w:rsidRDefault="008354E8" w:rsidP="008354E8">
      <w:pPr>
        <w:rPr>
          <w:b/>
          <w:sz w:val="20"/>
          <w:szCs w:val="20"/>
        </w:rPr>
      </w:pPr>
      <w:r w:rsidRPr="00492A76">
        <w:rPr>
          <w:b/>
          <w:sz w:val="20"/>
          <w:szCs w:val="20"/>
        </w:rPr>
        <w:t xml:space="preserve"> </w:t>
      </w:r>
    </w:p>
    <w:p w14:paraId="471606BA" w14:textId="77777777" w:rsidR="008354E8" w:rsidRPr="009A29E4" w:rsidRDefault="008354E8" w:rsidP="008354E8">
      <w:r w:rsidRPr="009A29E4">
        <w:t xml:space="preserve">The framework used for this review is a source-based framework and was developed specifically for this study. It breaks model-related uncertainty into three primary sources: data (both observed and simulated), parameters, and model structure. The data element is further split into two sub-sources: the response, </w:t>
      </w:r>
      <w:proofErr w:type="gramStart"/>
      <w:r w:rsidRPr="009A29E4">
        <w:t>i.e.</w:t>
      </w:r>
      <w:proofErr w:type="gramEnd"/>
      <w:r w:rsidRPr="009A29E4">
        <w:t xml:space="preserve"> </w:t>
      </w:r>
      <w:r w:rsidRPr="009A29E4">
        <w:lastRenderedPageBreak/>
        <w:t>the focal variable trying to be explained, and the explanatory variables, i.e. any variables used to explain the response. This gives four sources in total to assess.</w:t>
      </w:r>
    </w:p>
    <w:p w14:paraId="330CEB88" w14:textId="77777777" w:rsidR="008354E8" w:rsidRPr="00492A76" w:rsidRDefault="008354E8" w:rsidP="008354E8">
      <w:pPr>
        <w:rPr>
          <w:sz w:val="20"/>
          <w:szCs w:val="20"/>
        </w:rPr>
      </w:pPr>
      <w:r w:rsidRPr="00492A76">
        <w:rPr>
          <w:sz w:val="20"/>
          <w:szCs w:val="20"/>
        </w:rPr>
        <w:t xml:space="preserve"> </w:t>
      </w:r>
    </w:p>
    <w:p w14:paraId="11B491B5" w14:textId="77777777" w:rsidR="008354E8" w:rsidRDefault="008354E8" w:rsidP="008354E8">
      <w:pPr>
        <w:pStyle w:val="Caption"/>
        <w:keepNext/>
      </w:pPr>
      <w:r>
        <w:rPr>
          <w:b/>
          <w:bCs/>
          <w:sz w:val="20"/>
          <w:szCs w:val="20"/>
          <w:lang w:val="en-GB"/>
        </w:rPr>
        <w:t>Table 2</w:t>
      </w:r>
      <w:r w:rsidRPr="000828D9">
        <w:rPr>
          <w:b/>
          <w:bCs/>
          <w:sz w:val="20"/>
          <w:szCs w:val="20"/>
          <w:lang w:val="en-GB"/>
        </w:rPr>
        <w:t xml:space="preserve">: </w:t>
      </w:r>
      <w:r>
        <w:rPr>
          <w:b/>
          <w:bCs/>
          <w:sz w:val="20"/>
          <w:szCs w:val="20"/>
          <w:lang w:val="en-GB"/>
        </w:rPr>
        <w:t>Description of framework elements</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744"/>
        <w:gridCol w:w="3557"/>
        <w:gridCol w:w="4059"/>
      </w:tblGrid>
      <w:tr w:rsidR="008354E8" w:rsidRPr="00492A76" w14:paraId="1A95AD12" w14:textId="77777777" w:rsidTr="00C21C70">
        <w:trPr>
          <w:trHeight w:val="785"/>
        </w:trPr>
        <w:tc>
          <w:tcPr>
            <w:tcW w:w="1744" w:type="dxa"/>
            <w:tcBorders>
              <w:top w:val="nil"/>
              <w:left w:val="nil"/>
              <w:bottom w:val="single" w:sz="8" w:space="0" w:color="7F7F7F"/>
              <w:right w:val="nil"/>
            </w:tcBorders>
            <w:tcMar>
              <w:top w:w="100" w:type="dxa"/>
              <w:left w:w="100" w:type="dxa"/>
              <w:bottom w:w="100" w:type="dxa"/>
              <w:right w:w="100" w:type="dxa"/>
            </w:tcMar>
          </w:tcPr>
          <w:p w14:paraId="5746834D" w14:textId="77777777" w:rsidR="008354E8" w:rsidRPr="00492A76" w:rsidRDefault="008354E8" w:rsidP="00C21C70">
            <w:pPr>
              <w:jc w:val="center"/>
              <w:rPr>
                <w:b/>
                <w:sz w:val="20"/>
                <w:szCs w:val="20"/>
              </w:rPr>
            </w:pPr>
            <w:r w:rsidRPr="00492A76">
              <w:rPr>
                <w:b/>
                <w:sz w:val="20"/>
                <w:szCs w:val="20"/>
              </w:rPr>
              <w:t>SOURCE COMPONENT</w:t>
            </w:r>
          </w:p>
        </w:tc>
        <w:tc>
          <w:tcPr>
            <w:tcW w:w="3557" w:type="dxa"/>
            <w:tcBorders>
              <w:top w:val="nil"/>
              <w:left w:val="nil"/>
              <w:bottom w:val="single" w:sz="8" w:space="0" w:color="7F7F7F"/>
              <w:right w:val="nil"/>
            </w:tcBorders>
            <w:tcMar>
              <w:top w:w="100" w:type="dxa"/>
              <w:left w:w="100" w:type="dxa"/>
              <w:bottom w:w="100" w:type="dxa"/>
              <w:right w:w="100" w:type="dxa"/>
            </w:tcMar>
          </w:tcPr>
          <w:p w14:paraId="472803CE" w14:textId="77777777" w:rsidR="008354E8" w:rsidRPr="00492A76" w:rsidRDefault="008354E8" w:rsidP="00C21C70">
            <w:pPr>
              <w:jc w:val="center"/>
              <w:rPr>
                <w:b/>
                <w:sz w:val="20"/>
                <w:szCs w:val="20"/>
              </w:rPr>
            </w:pPr>
            <w:r w:rsidRPr="00492A76">
              <w:rPr>
                <w:b/>
                <w:sz w:val="20"/>
                <w:szCs w:val="20"/>
              </w:rPr>
              <w:t>DEFINITION</w:t>
            </w:r>
          </w:p>
        </w:tc>
        <w:tc>
          <w:tcPr>
            <w:tcW w:w="4059" w:type="dxa"/>
            <w:tcBorders>
              <w:top w:val="nil"/>
              <w:left w:val="nil"/>
              <w:bottom w:val="single" w:sz="8" w:space="0" w:color="7F7F7F"/>
              <w:right w:val="nil"/>
            </w:tcBorders>
            <w:tcMar>
              <w:top w:w="100" w:type="dxa"/>
              <w:left w:w="100" w:type="dxa"/>
              <w:bottom w:w="100" w:type="dxa"/>
              <w:right w:w="100" w:type="dxa"/>
            </w:tcMar>
          </w:tcPr>
          <w:p w14:paraId="6526BFB7" w14:textId="77777777" w:rsidR="008354E8" w:rsidRPr="00492A76" w:rsidRDefault="008354E8" w:rsidP="00C21C70">
            <w:pPr>
              <w:jc w:val="center"/>
              <w:rPr>
                <w:b/>
                <w:sz w:val="20"/>
                <w:szCs w:val="20"/>
              </w:rPr>
            </w:pPr>
            <w:r w:rsidRPr="00492A76">
              <w:rPr>
                <w:b/>
                <w:sz w:val="20"/>
                <w:szCs w:val="20"/>
              </w:rPr>
              <w:t>HOW IS IT A SOURCE OF UNCERTAINTY?</w:t>
            </w:r>
          </w:p>
        </w:tc>
      </w:tr>
      <w:tr w:rsidR="008354E8" w:rsidRPr="00492A76" w14:paraId="5C3D6921" w14:textId="77777777" w:rsidTr="00C21C70">
        <w:trPr>
          <w:trHeight w:val="2000"/>
        </w:trPr>
        <w:tc>
          <w:tcPr>
            <w:tcW w:w="1744" w:type="dxa"/>
            <w:tcBorders>
              <w:top w:val="nil"/>
              <w:left w:val="nil"/>
              <w:bottom w:val="nil"/>
              <w:right w:val="nil"/>
            </w:tcBorders>
            <w:shd w:val="clear" w:color="auto" w:fill="F2F2F2"/>
            <w:tcMar>
              <w:top w:w="100" w:type="dxa"/>
              <w:left w:w="100" w:type="dxa"/>
              <w:bottom w:w="100" w:type="dxa"/>
              <w:right w:w="100" w:type="dxa"/>
            </w:tcMar>
          </w:tcPr>
          <w:p w14:paraId="7B1D39FE" w14:textId="77777777" w:rsidR="008354E8" w:rsidRPr="00492A76" w:rsidRDefault="008354E8" w:rsidP="00C21C70">
            <w:pPr>
              <w:rPr>
                <w:sz w:val="20"/>
                <w:szCs w:val="20"/>
              </w:rPr>
            </w:pPr>
            <w:r w:rsidRPr="00492A76">
              <w:rPr>
                <w:sz w:val="20"/>
                <w:szCs w:val="20"/>
              </w:rPr>
              <w:t xml:space="preserve">Response </w:t>
            </w:r>
          </w:p>
        </w:tc>
        <w:tc>
          <w:tcPr>
            <w:tcW w:w="3557" w:type="dxa"/>
            <w:tcBorders>
              <w:top w:val="nil"/>
              <w:left w:val="nil"/>
              <w:bottom w:val="nil"/>
              <w:right w:val="nil"/>
            </w:tcBorders>
            <w:shd w:val="clear" w:color="auto" w:fill="F2F2F2"/>
            <w:tcMar>
              <w:top w:w="100" w:type="dxa"/>
              <w:left w:w="100" w:type="dxa"/>
              <w:bottom w:w="100" w:type="dxa"/>
              <w:right w:w="100" w:type="dxa"/>
            </w:tcMar>
          </w:tcPr>
          <w:p w14:paraId="2B46B6CB" w14:textId="77777777" w:rsidR="008354E8" w:rsidRPr="00492A76" w:rsidRDefault="008354E8" w:rsidP="00C21C70">
            <w:pPr>
              <w:rPr>
                <w:sz w:val="20"/>
                <w:szCs w:val="20"/>
              </w:rPr>
            </w:pPr>
            <w:r w:rsidRPr="00492A76">
              <w:rPr>
                <w:sz w:val="20"/>
                <w:szCs w:val="20"/>
              </w:rPr>
              <w:t>The variable(s) of interest, the quantity(</w:t>
            </w:r>
            <w:proofErr w:type="spellStart"/>
            <w:r w:rsidRPr="00492A76">
              <w:rPr>
                <w:sz w:val="20"/>
                <w:szCs w:val="20"/>
              </w:rPr>
              <w:t>ies</w:t>
            </w:r>
            <w:proofErr w:type="spellEnd"/>
            <w:r w:rsidRPr="00492A76">
              <w:rPr>
                <w:sz w:val="20"/>
                <w:szCs w:val="20"/>
              </w:rPr>
              <w:t>) we want to explain or predict. Could be something measured or something latent (unobserved) or simulated.</w:t>
            </w:r>
          </w:p>
        </w:tc>
        <w:tc>
          <w:tcPr>
            <w:tcW w:w="4059" w:type="dxa"/>
            <w:tcBorders>
              <w:top w:val="nil"/>
              <w:left w:val="nil"/>
              <w:bottom w:val="nil"/>
              <w:right w:val="nil"/>
            </w:tcBorders>
            <w:shd w:val="clear" w:color="auto" w:fill="F2F2F2"/>
            <w:tcMar>
              <w:top w:w="100" w:type="dxa"/>
              <w:left w:w="100" w:type="dxa"/>
              <w:bottom w:w="100" w:type="dxa"/>
              <w:right w:w="100" w:type="dxa"/>
            </w:tcMar>
          </w:tcPr>
          <w:p w14:paraId="52DF446A" w14:textId="77777777" w:rsidR="008354E8" w:rsidRPr="00492A76" w:rsidRDefault="008354E8" w:rsidP="00C21C70">
            <w:pPr>
              <w:rPr>
                <w:sz w:val="20"/>
                <w:szCs w:val="20"/>
              </w:rPr>
            </w:pPr>
            <w:r w:rsidRPr="00492A76">
              <w:rPr>
                <w:sz w:val="20"/>
                <w:szCs w:val="20"/>
              </w:rPr>
              <w:t xml:space="preserve">If the response is observed, it can have unknown error and biases. If the response is latent and therefore never observed, then it needs to be estimated. Responses can also be output from another model </w:t>
            </w:r>
            <w:proofErr w:type="gramStart"/>
            <w:r w:rsidRPr="00492A76">
              <w:rPr>
                <w:sz w:val="20"/>
                <w:szCs w:val="20"/>
              </w:rPr>
              <w:t>e.g.</w:t>
            </w:r>
            <w:proofErr w:type="gramEnd"/>
            <w:r w:rsidRPr="00492A76">
              <w:rPr>
                <w:sz w:val="20"/>
                <w:szCs w:val="20"/>
              </w:rPr>
              <w:t xml:space="preserve"> interpolated temperature. Predicted responses will have all uncertainty from predictive model.</w:t>
            </w:r>
          </w:p>
          <w:p w14:paraId="5A5078F6" w14:textId="77777777" w:rsidR="008354E8" w:rsidRPr="00492A76" w:rsidRDefault="008354E8" w:rsidP="00C21C70">
            <w:pPr>
              <w:rPr>
                <w:sz w:val="20"/>
                <w:szCs w:val="20"/>
              </w:rPr>
            </w:pPr>
            <w:r w:rsidRPr="00492A76">
              <w:rPr>
                <w:sz w:val="20"/>
                <w:szCs w:val="20"/>
              </w:rPr>
              <w:t xml:space="preserve"> </w:t>
            </w:r>
          </w:p>
        </w:tc>
      </w:tr>
      <w:tr w:rsidR="008354E8" w:rsidRPr="00492A76" w14:paraId="6D85A2B2" w14:textId="77777777" w:rsidTr="00C21C70">
        <w:trPr>
          <w:trHeight w:val="2225"/>
        </w:trPr>
        <w:tc>
          <w:tcPr>
            <w:tcW w:w="1744" w:type="dxa"/>
            <w:tcBorders>
              <w:top w:val="nil"/>
              <w:left w:val="nil"/>
              <w:bottom w:val="nil"/>
              <w:right w:val="nil"/>
            </w:tcBorders>
            <w:tcMar>
              <w:top w:w="100" w:type="dxa"/>
              <w:left w:w="100" w:type="dxa"/>
              <w:bottom w:w="100" w:type="dxa"/>
              <w:right w:w="100" w:type="dxa"/>
            </w:tcMar>
          </w:tcPr>
          <w:p w14:paraId="3AF7092E" w14:textId="77777777" w:rsidR="008354E8" w:rsidRPr="00492A76" w:rsidRDefault="008354E8" w:rsidP="00C21C70">
            <w:pPr>
              <w:rPr>
                <w:sz w:val="20"/>
                <w:szCs w:val="20"/>
              </w:rPr>
            </w:pPr>
            <w:r w:rsidRPr="00492A76">
              <w:rPr>
                <w:sz w:val="20"/>
                <w:szCs w:val="20"/>
              </w:rPr>
              <w:t>Explanatory variables</w:t>
            </w:r>
          </w:p>
        </w:tc>
        <w:tc>
          <w:tcPr>
            <w:tcW w:w="3557" w:type="dxa"/>
            <w:tcBorders>
              <w:top w:val="nil"/>
              <w:left w:val="nil"/>
              <w:bottom w:val="nil"/>
              <w:right w:val="nil"/>
            </w:tcBorders>
            <w:tcMar>
              <w:top w:w="100" w:type="dxa"/>
              <w:left w:w="100" w:type="dxa"/>
              <w:bottom w:w="100" w:type="dxa"/>
              <w:right w:w="100" w:type="dxa"/>
            </w:tcMar>
          </w:tcPr>
          <w:p w14:paraId="3227FCA8" w14:textId="77777777" w:rsidR="008354E8" w:rsidRPr="00492A76" w:rsidRDefault="008354E8" w:rsidP="00C21C70">
            <w:pPr>
              <w:rPr>
                <w:sz w:val="20"/>
                <w:szCs w:val="20"/>
              </w:rPr>
            </w:pPr>
            <w:r w:rsidRPr="00492A76">
              <w:rPr>
                <w:sz w:val="20"/>
                <w:szCs w:val="20"/>
              </w:rPr>
              <w:t>Any variable that explains or predicts the response. Could be something measured or something latent (unobserved) or simulated or theoretical.</w:t>
            </w:r>
          </w:p>
        </w:tc>
        <w:tc>
          <w:tcPr>
            <w:tcW w:w="4059" w:type="dxa"/>
            <w:tcBorders>
              <w:top w:val="nil"/>
              <w:left w:val="nil"/>
              <w:bottom w:val="nil"/>
              <w:right w:val="nil"/>
            </w:tcBorders>
            <w:tcMar>
              <w:top w:w="100" w:type="dxa"/>
              <w:left w:w="100" w:type="dxa"/>
              <w:bottom w:w="100" w:type="dxa"/>
              <w:right w:w="100" w:type="dxa"/>
            </w:tcMar>
          </w:tcPr>
          <w:p w14:paraId="431495CB" w14:textId="77777777" w:rsidR="008354E8" w:rsidRPr="00492A76" w:rsidRDefault="008354E8" w:rsidP="00C21C70">
            <w:pPr>
              <w:rPr>
                <w:sz w:val="20"/>
                <w:szCs w:val="20"/>
              </w:rPr>
            </w:pPr>
            <w:r w:rsidRPr="00492A76">
              <w:rPr>
                <w:sz w:val="20"/>
                <w:szCs w:val="20"/>
              </w:rPr>
              <w:t xml:space="preserve">If the explanatory variables are observed, they can have unknown error and biases. If the covariates are latent and therefore never observed, then they need to be estimated. Covariates could also be output from another model </w:t>
            </w:r>
            <w:proofErr w:type="gramStart"/>
            <w:r w:rsidRPr="00492A76">
              <w:rPr>
                <w:sz w:val="20"/>
                <w:szCs w:val="20"/>
              </w:rPr>
              <w:t>e.g.</w:t>
            </w:r>
            <w:proofErr w:type="gramEnd"/>
            <w:r w:rsidRPr="00492A76">
              <w:rPr>
                <w:sz w:val="20"/>
                <w:szCs w:val="20"/>
              </w:rPr>
              <w:t xml:space="preserve"> interpolated temperature. Theoretical covariates could have many plausible values (</w:t>
            </w:r>
            <w:proofErr w:type="gramStart"/>
            <w:r w:rsidRPr="00492A76">
              <w:rPr>
                <w:sz w:val="20"/>
                <w:szCs w:val="20"/>
              </w:rPr>
              <w:t>e.g.</w:t>
            </w:r>
            <w:proofErr w:type="gramEnd"/>
            <w:r w:rsidRPr="00492A76">
              <w:rPr>
                <w:sz w:val="20"/>
                <w:szCs w:val="20"/>
              </w:rPr>
              <w:t xml:space="preserve"> initial conditions in a simulation).</w:t>
            </w:r>
          </w:p>
          <w:p w14:paraId="07C361A5" w14:textId="77777777" w:rsidR="008354E8" w:rsidRPr="00492A76" w:rsidRDefault="008354E8" w:rsidP="00C21C70">
            <w:pPr>
              <w:rPr>
                <w:sz w:val="20"/>
                <w:szCs w:val="20"/>
              </w:rPr>
            </w:pPr>
            <w:r w:rsidRPr="00492A76">
              <w:rPr>
                <w:sz w:val="20"/>
                <w:szCs w:val="20"/>
              </w:rPr>
              <w:t xml:space="preserve"> </w:t>
            </w:r>
          </w:p>
        </w:tc>
      </w:tr>
      <w:tr w:rsidR="008354E8" w:rsidRPr="00492A76" w14:paraId="4D22B2E7" w14:textId="77777777" w:rsidTr="00C21C70">
        <w:trPr>
          <w:trHeight w:val="1775"/>
        </w:trPr>
        <w:tc>
          <w:tcPr>
            <w:tcW w:w="1744" w:type="dxa"/>
            <w:tcBorders>
              <w:top w:val="nil"/>
              <w:left w:val="nil"/>
              <w:bottom w:val="nil"/>
              <w:right w:val="nil"/>
            </w:tcBorders>
            <w:shd w:val="clear" w:color="auto" w:fill="F2F2F2"/>
            <w:tcMar>
              <w:top w:w="100" w:type="dxa"/>
              <w:left w:w="100" w:type="dxa"/>
              <w:bottom w:w="100" w:type="dxa"/>
              <w:right w:w="100" w:type="dxa"/>
            </w:tcMar>
          </w:tcPr>
          <w:p w14:paraId="3ABF89DD" w14:textId="77777777" w:rsidR="008354E8" w:rsidRPr="00492A76" w:rsidRDefault="008354E8" w:rsidP="00C21C70">
            <w:pPr>
              <w:rPr>
                <w:sz w:val="20"/>
                <w:szCs w:val="20"/>
              </w:rPr>
            </w:pPr>
            <w:r w:rsidRPr="00492A76">
              <w:rPr>
                <w:sz w:val="20"/>
                <w:szCs w:val="20"/>
              </w:rPr>
              <w:t>Parameter estimates</w:t>
            </w:r>
          </w:p>
        </w:tc>
        <w:tc>
          <w:tcPr>
            <w:tcW w:w="3557" w:type="dxa"/>
            <w:tcBorders>
              <w:top w:val="nil"/>
              <w:left w:val="nil"/>
              <w:bottom w:val="nil"/>
              <w:right w:val="nil"/>
            </w:tcBorders>
            <w:shd w:val="clear" w:color="auto" w:fill="F2F2F2"/>
            <w:tcMar>
              <w:top w:w="100" w:type="dxa"/>
              <w:left w:w="100" w:type="dxa"/>
              <w:bottom w:w="100" w:type="dxa"/>
              <w:right w:w="100" w:type="dxa"/>
            </w:tcMar>
          </w:tcPr>
          <w:p w14:paraId="6118BF38" w14:textId="77777777" w:rsidR="008354E8" w:rsidRPr="00492A76" w:rsidRDefault="008354E8" w:rsidP="00C21C70">
            <w:pPr>
              <w:rPr>
                <w:sz w:val="20"/>
                <w:szCs w:val="20"/>
              </w:rPr>
            </w:pPr>
            <w:r w:rsidRPr="00492A76">
              <w:rPr>
                <w:sz w:val="20"/>
                <w:szCs w:val="20"/>
              </w:rPr>
              <w:t xml:space="preserve">Values given to unknown parameters in the model either through estimation, </w:t>
            </w:r>
            <w:proofErr w:type="spellStart"/>
            <w:r w:rsidRPr="00492A76">
              <w:rPr>
                <w:sz w:val="20"/>
                <w:szCs w:val="20"/>
              </w:rPr>
              <w:t>optimisation</w:t>
            </w:r>
            <w:proofErr w:type="spellEnd"/>
            <w:r w:rsidRPr="00492A76">
              <w:rPr>
                <w:sz w:val="20"/>
                <w:szCs w:val="20"/>
              </w:rPr>
              <w:t>, or chosen.</w:t>
            </w:r>
          </w:p>
        </w:tc>
        <w:tc>
          <w:tcPr>
            <w:tcW w:w="4059" w:type="dxa"/>
            <w:tcBorders>
              <w:top w:val="nil"/>
              <w:left w:val="nil"/>
              <w:bottom w:val="nil"/>
              <w:right w:val="nil"/>
            </w:tcBorders>
            <w:shd w:val="clear" w:color="auto" w:fill="F2F2F2"/>
            <w:tcMar>
              <w:top w:w="100" w:type="dxa"/>
              <w:left w:w="100" w:type="dxa"/>
              <w:bottom w:w="100" w:type="dxa"/>
              <w:right w:w="100" w:type="dxa"/>
            </w:tcMar>
          </w:tcPr>
          <w:p w14:paraId="0D6CC2AE" w14:textId="77777777" w:rsidR="008354E8" w:rsidRPr="00492A76" w:rsidRDefault="008354E8" w:rsidP="00C21C70">
            <w:pPr>
              <w:rPr>
                <w:sz w:val="20"/>
                <w:szCs w:val="20"/>
              </w:rPr>
            </w:pPr>
            <w:r w:rsidRPr="00492A76">
              <w:rPr>
                <w:sz w:val="20"/>
                <w:szCs w:val="20"/>
              </w:rPr>
              <w:t xml:space="preserve">Can arise from the statistical estimation of unknown parameter values, which gives the range of plausible parameter values generated from estimation. Can also arise from </w:t>
            </w:r>
            <w:proofErr w:type="spellStart"/>
            <w:r w:rsidRPr="00492A76">
              <w:rPr>
                <w:sz w:val="20"/>
                <w:szCs w:val="20"/>
              </w:rPr>
              <w:t>optimisation</w:t>
            </w:r>
            <w:proofErr w:type="spellEnd"/>
            <w:r w:rsidRPr="00492A76">
              <w:rPr>
                <w:sz w:val="20"/>
                <w:szCs w:val="20"/>
              </w:rPr>
              <w:t xml:space="preserve"> or selection of parameter values for a theoretical model.</w:t>
            </w:r>
          </w:p>
          <w:p w14:paraId="20753FF1" w14:textId="77777777" w:rsidR="008354E8" w:rsidRPr="00492A76" w:rsidRDefault="008354E8" w:rsidP="00C21C70">
            <w:pPr>
              <w:rPr>
                <w:sz w:val="20"/>
                <w:szCs w:val="20"/>
              </w:rPr>
            </w:pPr>
            <w:r w:rsidRPr="00492A76">
              <w:rPr>
                <w:sz w:val="20"/>
                <w:szCs w:val="20"/>
              </w:rPr>
              <w:t xml:space="preserve"> </w:t>
            </w:r>
          </w:p>
        </w:tc>
      </w:tr>
      <w:tr w:rsidR="008354E8" w:rsidRPr="00492A76" w14:paraId="590B7AE1" w14:textId="77777777" w:rsidTr="00C21C70">
        <w:trPr>
          <w:trHeight w:val="1235"/>
        </w:trPr>
        <w:tc>
          <w:tcPr>
            <w:tcW w:w="1744" w:type="dxa"/>
            <w:tcBorders>
              <w:top w:val="nil"/>
              <w:left w:val="nil"/>
              <w:bottom w:val="nil"/>
              <w:right w:val="nil"/>
            </w:tcBorders>
            <w:tcMar>
              <w:top w:w="100" w:type="dxa"/>
              <w:left w:w="100" w:type="dxa"/>
              <w:bottom w:w="100" w:type="dxa"/>
              <w:right w:w="100" w:type="dxa"/>
            </w:tcMar>
          </w:tcPr>
          <w:p w14:paraId="47362428" w14:textId="77777777" w:rsidR="008354E8" w:rsidRPr="00492A76" w:rsidRDefault="008354E8" w:rsidP="00C21C70">
            <w:pPr>
              <w:rPr>
                <w:sz w:val="20"/>
                <w:szCs w:val="20"/>
              </w:rPr>
            </w:pPr>
            <w:r w:rsidRPr="00492A76">
              <w:rPr>
                <w:sz w:val="20"/>
                <w:szCs w:val="20"/>
              </w:rPr>
              <w:t>Model structure</w:t>
            </w:r>
          </w:p>
        </w:tc>
        <w:tc>
          <w:tcPr>
            <w:tcW w:w="3557" w:type="dxa"/>
            <w:tcBorders>
              <w:top w:val="nil"/>
              <w:left w:val="nil"/>
              <w:bottom w:val="nil"/>
              <w:right w:val="nil"/>
            </w:tcBorders>
            <w:tcMar>
              <w:top w:w="100" w:type="dxa"/>
              <w:left w:w="100" w:type="dxa"/>
              <w:bottom w:w="100" w:type="dxa"/>
              <w:right w:w="100" w:type="dxa"/>
            </w:tcMar>
          </w:tcPr>
          <w:p w14:paraId="0315DD04" w14:textId="77777777" w:rsidR="008354E8" w:rsidRPr="00492A76" w:rsidRDefault="008354E8" w:rsidP="00C21C70">
            <w:pPr>
              <w:rPr>
                <w:sz w:val="20"/>
                <w:szCs w:val="20"/>
              </w:rPr>
            </w:pPr>
            <w:r w:rsidRPr="00492A76">
              <w:rPr>
                <w:sz w:val="20"/>
                <w:szCs w:val="20"/>
              </w:rPr>
              <w:t xml:space="preserve">Uncertainty in the process being investigated – the structure of the equations that link the response, explanatory </w:t>
            </w:r>
            <w:proofErr w:type="gramStart"/>
            <w:r w:rsidRPr="00492A76">
              <w:rPr>
                <w:sz w:val="20"/>
                <w:szCs w:val="20"/>
              </w:rPr>
              <w:t>variables</w:t>
            </w:r>
            <w:proofErr w:type="gramEnd"/>
            <w:r w:rsidRPr="00492A76">
              <w:rPr>
                <w:sz w:val="20"/>
                <w:szCs w:val="20"/>
              </w:rPr>
              <w:t xml:space="preserve"> and parameters. Can be called ‘model uncertainty’ in some disciplines.</w:t>
            </w:r>
          </w:p>
        </w:tc>
        <w:tc>
          <w:tcPr>
            <w:tcW w:w="4059" w:type="dxa"/>
            <w:tcBorders>
              <w:top w:val="nil"/>
              <w:left w:val="nil"/>
              <w:bottom w:val="nil"/>
              <w:right w:val="nil"/>
            </w:tcBorders>
            <w:tcMar>
              <w:top w:w="100" w:type="dxa"/>
              <w:left w:w="100" w:type="dxa"/>
              <w:bottom w:w="100" w:type="dxa"/>
              <w:right w:w="100" w:type="dxa"/>
            </w:tcMar>
          </w:tcPr>
          <w:p w14:paraId="78CC84B1" w14:textId="77777777" w:rsidR="008354E8" w:rsidRPr="00492A76" w:rsidRDefault="008354E8" w:rsidP="00C21C70">
            <w:pPr>
              <w:rPr>
                <w:sz w:val="20"/>
                <w:szCs w:val="20"/>
              </w:rPr>
            </w:pPr>
            <w:r w:rsidRPr="00492A76">
              <w:rPr>
                <w:sz w:val="20"/>
                <w:szCs w:val="20"/>
              </w:rPr>
              <w:t>Different model structures contain different assumptions, parameters, and covariates. They therefore produce different results for the same response.</w:t>
            </w:r>
          </w:p>
        </w:tc>
      </w:tr>
    </w:tbl>
    <w:p w14:paraId="2875EEF8" w14:textId="77777777" w:rsidR="008354E8" w:rsidRPr="00492A76" w:rsidRDefault="008354E8" w:rsidP="008354E8">
      <w:pPr>
        <w:rPr>
          <w:rFonts w:ascii="Times New Roman" w:eastAsia="Times New Roman" w:hAnsi="Times New Roman" w:cs="Times New Roman"/>
          <w:sz w:val="20"/>
          <w:szCs w:val="20"/>
        </w:rPr>
      </w:pPr>
      <w:r w:rsidRPr="00492A76">
        <w:rPr>
          <w:rFonts w:ascii="Times New Roman" w:eastAsia="Times New Roman" w:hAnsi="Times New Roman" w:cs="Times New Roman"/>
          <w:sz w:val="20"/>
          <w:szCs w:val="20"/>
        </w:rPr>
        <w:t xml:space="preserve"> </w:t>
      </w:r>
    </w:p>
    <w:p w14:paraId="4F5D62C8" w14:textId="77777777" w:rsidR="008354E8" w:rsidRPr="009A29E4" w:rsidRDefault="008354E8" w:rsidP="008354E8">
      <w:r w:rsidRPr="009A29E4">
        <w:rPr>
          <w:rFonts w:eastAsia="Times New Roman"/>
        </w:rPr>
        <w:t>M</w:t>
      </w:r>
      <w:r w:rsidRPr="009A29E4">
        <w:t xml:space="preserve">odels typically contain </w:t>
      </w:r>
      <w:proofErr w:type="gramStart"/>
      <w:r w:rsidRPr="009A29E4">
        <w:t>all of</w:t>
      </w:r>
      <w:proofErr w:type="gramEnd"/>
      <w:r w:rsidRPr="009A29E4">
        <w:t xml:space="preserve"> the components of the framework. Nevertheless, one or several may be missing or minimally important in specific cases. Together, the components can be considered a modelling unit. As model complexity increases, the number of units also increases, leading to more layers of uncertainty (</w:t>
      </w:r>
      <w:proofErr w:type="gramStart"/>
      <w:r w:rsidRPr="009A29E4">
        <w:t>e.g.</w:t>
      </w:r>
      <w:proofErr w:type="gramEnd"/>
      <w:r w:rsidRPr="009A29E4">
        <w:t xml:space="preserve"> in a predictive model). However, we do not assess these layers specifically here.</w:t>
      </w:r>
    </w:p>
    <w:p w14:paraId="4CA35F75" w14:textId="77777777" w:rsidR="008354E8" w:rsidRPr="009A29E4" w:rsidRDefault="008354E8" w:rsidP="008354E8">
      <w:pPr>
        <w:rPr>
          <w:b/>
        </w:rPr>
      </w:pPr>
      <w:r w:rsidRPr="009A29E4">
        <w:rPr>
          <w:b/>
        </w:rPr>
        <w:t xml:space="preserve"> </w:t>
      </w:r>
    </w:p>
    <w:p w14:paraId="3291EC50" w14:textId="77777777" w:rsidR="008354E8" w:rsidRPr="009A29E4" w:rsidRDefault="008354E8" w:rsidP="008354E8">
      <w:pPr>
        <w:rPr>
          <w:i/>
        </w:rPr>
      </w:pPr>
      <w:r w:rsidRPr="009A29E4">
        <w:rPr>
          <w:i/>
        </w:rPr>
        <w:t>Example of the framework in practice:</w:t>
      </w:r>
    </w:p>
    <w:p w14:paraId="2323869E" w14:textId="77777777" w:rsidR="008354E8" w:rsidRPr="00492A76" w:rsidRDefault="008354E8" w:rsidP="008354E8">
      <w:pPr>
        <w:rPr>
          <w:b/>
          <w:sz w:val="20"/>
          <w:szCs w:val="20"/>
        </w:rPr>
      </w:pPr>
      <w:r w:rsidRPr="00492A76">
        <w:rPr>
          <w:b/>
          <w:sz w:val="20"/>
          <w:szCs w:val="20"/>
        </w:rPr>
        <w:t xml:space="preserve"> </w:t>
      </w:r>
    </w:p>
    <w:p w14:paraId="24F00ECD" w14:textId="77777777" w:rsidR="008354E8" w:rsidRPr="009A29E4" w:rsidRDefault="008354E8" w:rsidP="008354E8">
      <w:r w:rsidRPr="009A29E4">
        <w:t>Focal model: a simple linear regression of change in height of plants as a function of temperature.</w:t>
      </w:r>
    </w:p>
    <w:p w14:paraId="2874992E" w14:textId="77777777" w:rsidR="008354E8" w:rsidRPr="009A29E4" w:rsidRDefault="008354E8" w:rsidP="008354E8">
      <w:r w:rsidRPr="009A29E4">
        <w:lastRenderedPageBreak/>
        <w:t xml:space="preserve"> </w:t>
      </w:r>
    </w:p>
    <w:p w14:paraId="1C2530DC" w14:textId="77777777" w:rsidR="008354E8" w:rsidRPr="009A29E4" w:rsidRDefault="008354E8" w:rsidP="008354E8">
      <w:r w:rsidRPr="009A29E4">
        <w:t>Model equation:</w:t>
      </w:r>
    </w:p>
    <w:p w14:paraId="59D035C5" w14:textId="77777777" w:rsidR="008354E8" w:rsidRPr="009A29E4" w:rsidRDefault="008354E8" w:rsidP="008354E8"/>
    <w:p w14:paraId="23ABBC35" w14:textId="77777777" w:rsidR="008354E8" w:rsidRPr="009A29E4" w:rsidRDefault="00000000" w:rsidP="008354E8">
      <w:pPr>
        <w:jc w:val="center"/>
      </w:pPr>
      <m:oMathPara>
        <m:oMath>
          <m:sSub>
            <m:sSubPr>
              <m:ctrlPr>
                <w:rPr>
                  <w:rFonts w:ascii="Cambria Math" w:eastAsia="Arial Unicode MS" w:hAnsi="Cambria Math" w:cs="Arial Unicode MS"/>
                  <w:i/>
                </w:rPr>
              </m:ctrlPr>
            </m:sSubPr>
            <m:e>
              <m:r>
                <w:rPr>
                  <w:rFonts w:ascii="Cambria Math" w:eastAsia="Arial Unicode MS" w:hAnsi="Cambria Math" w:cs="Arial Unicode MS"/>
                </w:rPr>
                <m:t>∆H</m:t>
              </m:r>
            </m:e>
            <m:sub>
              <m:r>
                <w:rPr>
                  <w:rFonts w:ascii="Cambria Math" w:eastAsia="Arial Unicode MS" w:hAnsi="Cambria Math" w:cs="Arial Unicode MS"/>
                </w:rPr>
                <m:t>i</m:t>
              </m:r>
            </m:sub>
          </m:sSub>
          <m:r>
            <w:rPr>
              <w:rFonts w:ascii="Cambria Math" w:eastAsia="Arial Unicode MS" w:hAnsi="Cambria Math" w:cs="Arial Unicode MS"/>
            </w:rPr>
            <m:t xml:space="preserve">= </m:t>
          </m:r>
          <m:sSub>
            <m:sSubPr>
              <m:ctrlPr>
                <w:rPr>
                  <w:rFonts w:ascii="Cambria Math" w:eastAsia="Arial Unicode MS" w:hAnsi="Cambria Math" w:cs="Arial Unicode MS"/>
                  <w:i/>
                </w:rPr>
              </m:ctrlPr>
            </m:sSubPr>
            <m:e>
              <m:r>
                <w:rPr>
                  <w:rFonts w:ascii="Cambria Math" w:eastAsia="Arial Unicode MS" w:hAnsi="Cambria Math" w:cs="Arial Unicode MS"/>
                </w:rPr>
                <m:t>β</m:t>
              </m:r>
            </m:e>
            <m:sub>
              <m:r>
                <w:rPr>
                  <w:rFonts w:ascii="Cambria Math" w:eastAsia="Arial Unicode MS" w:hAnsi="Cambria Math" w:cs="Arial Unicode MS"/>
                </w:rPr>
                <m:t>0</m:t>
              </m:r>
            </m:sub>
          </m:sSub>
          <m:r>
            <w:rPr>
              <w:rFonts w:ascii="Cambria Math" w:eastAsia="Arial Unicode MS" w:hAnsi="Cambria Math" w:cs="Arial Unicode MS"/>
            </w:rPr>
            <m:t>+</m:t>
          </m:r>
          <m:sSub>
            <m:sSubPr>
              <m:ctrlPr>
                <w:rPr>
                  <w:rFonts w:ascii="Cambria Math" w:eastAsia="Arial Unicode MS" w:hAnsi="Cambria Math" w:cs="Arial Unicode MS"/>
                  <w:i/>
                </w:rPr>
              </m:ctrlPr>
            </m:sSubPr>
            <m:e>
              <m:r>
                <w:rPr>
                  <w:rFonts w:ascii="Cambria Math" w:eastAsia="Arial Unicode MS" w:hAnsi="Cambria Math" w:cs="Arial Unicode MS"/>
                </w:rPr>
                <m:t xml:space="preserve"> β</m:t>
              </m:r>
            </m:e>
            <m:sub>
              <m:r>
                <w:rPr>
                  <w:rFonts w:ascii="Cambria Math" w:eastAsia="Arial Unicode MS" w:hAnsi="Cambria Math" w:cs="Arial Unicode MS"/>
                </w:rPr>
                <m:t>1</m:t>
              </m:r>
            </m:sub>
          </m:sSub>
          <m:r>
            <w:rPr>
              <w:rFonts w:ascii="Cambria Math" w:eastAsia="Arial Unicode MS" w:hAnsi="Cambria Math" w:cs="Arial Unicode MS"/>
            </w:rPr>
            <m:t xml:space="preserve"> </m:t>
          </m:r>
          <m:sSub>
            <m:sSubPr>
              <m:ctrlPr>
                <w:rPr>
                  <w:rFonts w:ascii="Cambria Math" w:eastAsia="Arial Unicode MS" w:hAnsi="Cambria Math" w:cs="Arial Unicode MS"/>
                  <w:i/>
                </w:rPr>
              </m:ctrlPr>
            </m:sSubPr>
            <m:e>
              <m:r>
                <w:rPr>
                  <w:rFonts w:ascii="Cambria Math" w:eastAsia="Arial Unicode MS" w:hAnsi="Cambria Math" w:cs="Arial Unicode MS"/>
                </w:rPr>
                <m:t>Temp</m:t>
              </m:r>
            </m:e>
            <m:sub>
              <m:r>
                <w:rPr>
                  <w:rFonts w:ascii="Cambria Math" w:eastAsia="Arial Unicode MS" w:hAnsi="Cambria Math" w:cs="Arial Unicode MS"/>
                </w:rPr>
                <m:t>i</m:t>
              </m:r>
            </m:sub>
          </m:sSub>
          <m:r>
            <w:rPr>
              <w:rFonts w:ascii="Cambria Math" w:eastAsia="Arial Unicode MS" w:hAnsi="Cambria Math" w:cs="Arial Unicode MS"/>
            </w:rPr>
            <m:t>+</m:t>
          </m:r>
          <m:sSub>
            <m:sSubPr>
              <m:ctrlPr>
                <w:rPr>
                  <w:rFonts w:ascii="Cambria Math" w:eastAsia="Arial Unicode MS" w:hAnsi="Cambria Math" w:cs="Arial Unicode MS"/>
                  <w:i/>
                </w:rPr>
              </m:ctrlPr>
            </m:sSubPr>
            <m:e>
              <m:r>
                <w:rPr>
                  <w:rFonts w:ascii="Cambria Math" w:eastAsia="Arial Unicode MS" w:hAnsi="Cambria Math" w:cs="Arial Unicode MS"/>
                </w:rPr>
                <m:t>ε</m:t>
              </m:r>
            </m:e>
            <m:sub>
              <m:r>
                <w:rPr>
                  <w:rFonts w:ascii="Cambria Math" w:eastAsia="Arial Unicode MS" w:hAnsi="Cambria Math" w:cs="Arial Unicode MS"/>
                </w:rPr>
                <m:t>i</m:t>
              </m:r>
            </m:sub>
          </m:sSub>
        </m:oMath>
      </m:oMathPara>
    </w:p>
    <w:p w14:paraId="0E5FF77A" w14:textId="77777777" w:rsidR="008354E8" w:rsidRPr="009A29E4" w:rsidRDefault="008354E8" w:rsidP="008354E8"/>
    <w:p w14:paraId="12A5BBF8" w14:textId="77777777" w:rsidR="008354E8" w:rsidRPr="009A29E4" w:rsidRDefault="00000000" w:rsidP="008354E8">
      <m:oMathPara>
        <m:oMath>
          <m:sSub>
            <m:sSubPr>
              <m:ctrlPr>
                <w:rPr>
                  <w:rFonts w:ascii="Cambria Math" w:hAnsi="Cambria Math"/>
                  <w:i/>
                </w:rPr>
              </m:ctrlPr>
            </m:sSubPr>
            <m:e>
              <m:r>
                <w:rPr>
                  <w:rFonts w:ascii="Cambria Math" w:hAnsi="Cambria Math"/>
                </w:rPr>
                <m:t>ε</m:t>
              </m:r>
            </m:e>
            <m:sub>
              <m:r>
                <w:rPr>
                  <w:rFonts w:ascii="Cambria Math" w:hAnsi="Cambria Math"/>
                </w:rPr>
                <m:t>i</m:t>
              </m:r>
            </m:sub>
          </m:sSub>
          <m:r>
            <w:rPr>
              <w:rFonts w:ascii="Cambria Math" w:hAnsi="Cambria Math"/>
            </w:rPr>
            <m:t>~N(0,</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oMath>
      </m:oMathPara>
    </w:p>
    <w:p w14:paraId="7B28D8DB" w14:textId="77777777" w:rsidR="008354E8" w:rsidRPr="00492A76" w:rsidRDefault="008354E8" w:rsidP="008354E8">
      <w:pPr>
        <w:rPr>
          <w:sz w:val="20"/>
          <w:szCs w:val="20"/>
        </w:rPr>
      </w:pPr>
      <w:r w:rsidRPr="00492A76">
        <w:rPr>
          <w:sz w:val="20"/>
          <w:szCs w:val="20"/>
        </w:rPr>
        <w:t xml:space="preserve"> </w:t>
      </w:r>
    </w:p>
    <w:p w14:paraId="69143980" w14:textId="77777777" w:rsidR="008354E8" w:rsidRDefault="008354E8" w:rsidP="008354E8">
      <w:pPr>
        <w:pStyle w:val="Caption"/>
        <w:keepNext/>
      </w:pPr>
      <w:r>
        <w:rPr>
          <w:b/>
          <w:bCs/>
          <w:sz w:val="20"/>
          <w:szCs w:val="20"/>
          <w:lang w:val="en-GB"/>
        </w:rPr>
        <w:t>Table 3</w:t>
      </w:r>
      <w:r w:rsidRPr="000828D9">
        <w:rPr>
          <w:b/>
          <w:bCs/>
          <w:sz w:val="20"/>
          <w:szCs w:val="20"/>
          <w:lang w:val="en-GB"/>
        </w:rPr>
        <w:t xml:space="preserve">: </w:t>
      </w:r>
      <w:r>
        <w:rPr>
          <w:b/>
          <w:bCs/>
          <w:sz w:val="20"/>
          <w:szCs w:val="20"/>
          <w:lang w:val="en-GB"/>
        </w:rPr>
        <w:t>Expanded example of source framework (from Box 1)</w:t>
      </w:r>
    </w:p>
    <w:tbl>
      <w:tblPr>
        <w:tblW w:w="9105" w:type="dxa"/>
        <w:tblBorders>
          <w:top w:val="nil"/>
          <w:left w:val="nil"/>
          <w:bottom w:val="nil"/>
          <w:right w:val="nil"/>
          <w:insideH w:val="nil"/>
          <w:insideV w:val="nil"/>
        </w:tblBorders>
        <w:tblLayout w:type="fixed"/>
        <w:tblLook w:val="0600" w:firstRow="0" w:lastRow="0" w:firstColumn="0" w:lastColumn="0" w:noHBand="1" w:noVBand="1"/>
      </w:tblPr>
      <w:tblGrid>
        <w:gridCol w:w="1650"/>
        <w:gridCol w:w="2265"/>
        <w:gridCol w:w="2190"/>
        <w:gridCol w:w="3000"/>
      </w:tblGrid>
      <w:tr w:rsidR="008354E8" w:rsidRPr="00492A76" w14:paraId="5F6C6A92" w14:textId="77777777" w:rsidTr="00C21C70">
        <w:trPr>
          <w:trHeight w:val="1070"/>
        </w:trPr>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ECBBA" w14:textId="77777777" w:rsidR="008354E8" w:rsidRPr="00492A76" w:rsidRDefault="008354E8" w:rsidP="00C21C70">
            <w:pPr>
              <w:rPr>
                <w:b/>
                <w:sz w:val="20"/>
                <w:szCs w:val="20"/>
              </w:rPr>
            </w:pPr>
            <w:r w:rsidRPr="00492A76">
              <w:rPr>
                <w:b/>
                <w:sz w:val="20"/>
                <w:szCs w:val="20"/>
              </w:rPr>
              <w:t>Source</w:t>
            </w:r>
          </w:p>
        </w:tc>
        <w:tc>
          <w:tcPr>
            <w:tcW w:w="22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0A6B73" w14:textId="77777777" w:rsidR="008354E8" w:rsidRPr="00492A76" w:rsidRDefault="008354E8" w:rsidP="00C21C70">
            <w:pPr>
              <w:jc w:val="center"/>
              <w:rPr>
                <w:b/>
                <w:sz w:val="20"/>
                <w:szCs w:val="20"/>
              </w:rPr>
            </w:pPr>
            <w:r w:rsidRPr="00492A76">
              <w:rPr>
                <w:b/>
                <w:sz w:val="20"/>
                <w:szCs w:val="20"/>
              </w:rPr>
              <w:t>Element in the focal model</w:t>
            </w:r>
          </w:p>
        </w:tc>
        <w:tc>
          <w:tcPr>
            <w:tcW w:w="21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C8DC31" w14:textId="77777777" w:rsidR="008354E8" w:rsidRPr="00492A76" w:rsidRDefault="008354E8" w:rsidP="00C21C70">
            <w:pPr>
              <w:jc w:val="center"/>
              <w:rPr>
                <w:b/>
                <w:sz w:val="20"/>
                <w:szCs w:val="20"/>
              </w:rPr>
            </w:pPr>
            <w:r w:rsidRPr="00492A76">
              <w:rPr>
                <w:b/>
                <w:sz w:val="20"/>
                <w:szCs w:val="20"/>
              </w:rPr>
              <w:t>Example of potential uncertainty</w:t>
            </w:r>
          </w:p>
        </w:tc>
        <w:tc>
          <w:tcPr>
            <w:tcW w:w="30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B40D3B" w14:textId="77777777" w:rsidR="008354E8" w:rsidRPr="00492A76" w:rsidRDefault="008354E8" w:rsidP="00C21C70">
            <w:pPr>
              <w:jc w:val="center"/>
              <w:rPr>
                <w:b/>
                <w:sz w:val="20"/>
                <w:szCs w:val="20"/>
              </w:rPr>
            </w:pPr>
            <w:r w:rsidRPr="00492A76">
              <w:rPr>
                <w:b/>
                <w:sz w:val="20"/>
                <w:szCs w:val="20"/>
              </w:rPr>
              <w:t>Example of quantification</w:t>
            </w:r>
          </w:p>
        </w:tc>
      </w:tr>
      <w:tr w:rsidR="008354E8" w:rsidRPr="00492A76" w14:paraId="32726660" w14:textId="77777777" w:rsidTr="00C21C70">
        <w:trPr>
          <w:trHeight w:val="2540"/>
        </w:trPr>
        <w:tc>
          <w:tcPr>
            <w:tcW w:w="1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415095" w14:textId="77777777" w:rsidR="008354E8" w:rsidRPr="00492A76" w:rsidRDefault="008354E8" w:rsidP="00C21C70">
            <w:pPr>
              <w:jc w:val="center"/>
              <w:rPr>
                <w:sz w:val="20"/>
                <w:szCs w:val="20"/>
              </w:rPr>
            </w:pPr>
            <w:r w:rsidRPr="00492A76">
              <w:rPr>
                <w:noProof/>
                <w:sz w:val="20"/>
                <w:szCs w:val="20"/>
              </w:rPr>
              <w:drawing>
                <wp:inline distT="0" distB="0" distL="0" distR="0" wp14:anchorId="00FC57B2" wp14:editId="6BBCF2BF">
                  <wp:extent cx="720000" cy="77538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20000" cy="775385"/>
                          </a:xfrm>
                          <a:prstGeom prst="rect">
                            <a:avLst/>
                          </a:prstGeom>
                        </pic:spPr>
                      </pic:pic>
                    </a:graphicData>
                  </a:graphic>
                </wp:inline>
              </w:drawing>
            </w:r>
          </w:p>
          <w:p w14:paraId="2DBD5366" w14:textId="77777777" w:rsidR="008354E8" w:rsidRPr="00492A76" w:rsidRDefault="008354E8" w:rsidP="00C21C70">
            <w:pPr>
              <w:jc w:val="center"/>
              <w:rPr>
                <w:sz w:val="20"/>
                <w:szCs w:val="20"/>
              </w:rPr>
            </w:pPr>
          </w:p>
          <w:p w14:paraId="53353FC7" w14:textId="77777777" w:rsidR="008354E8" w:rsidRPr="00492A76" w:rsidRDefault="008354E8" w:rsidP="00C21C70">
            <w:pPr>
              <w:jc w:val="center"/>
              <w:rPr>
                <w:sz w:val="20"/>
                <w:szCs w:val="20"/>
              </w:rPr>
            </w:pPr>
          </w:p>
          <w:p w14:paraId="3CDC9953" w14:textId="77777777" w:rsidR="008354E8" w:rsidRPr="00492A76" w:rsidRDefault="008354E8" w:rsidP="00C21C70">
            <w:pPr>
              <w:jc w:val="center"/>
              <w:rPr>
                <w:sz w:val="20"/>
                <w:szCs w:val="20"/>
              </w:rPr>
            </w:pPr>
          </w:p>
        </w:tc>
        <w:tc>
          <w:tcPr>
            <w:tcW w:w="2265" w:type="dxa"/>
            <w:tcBorders>
              <w:top w:val="nil"/>
              <w:left w:val="nil"/>
              <w:bottom w:val="single" w:sz="8" w:space="0" w:color="000000"/>
              <w:right w:val="single" w:sz="8" w:space="0" w:color="000000"/>
            </w:tcBorders>
            <w:tcMar>
              <w:top w:w="100" w:type="dxa"/>
              <w:left w:w="100" w:type="dxa"/>
              <w:bottom w:w="100" w:type="dxa"/>
              <w:right w:w="100" w:type="dxa"/>
            </w:tcMar>
          </w:tcPr>
          <w:p w14:paraId="75F2CB6F" w14:textId="77777777" w:rsidR="008354E8" w:rsidRPr="00492A76" w:rsidRDefault="008354E8" w:rsidP="00C21C70">
            <w:pPr>
              <w:rPr>
                <w:sz w:val="20"/>
                <w:szCs w:val="20"/>
              </w:rPr>
            </w:pPr>
            <w:r w:rsidRPr="00492A76">
              <w:rPr>
                <w:sz w:val="20"/>
                <w:szCs w:val="20"/>
              </w:rPr>
              <w:t>Change in height (</w:t>
            </w:r>
            <m:oMath>
              <m:sSub>
                <m:sSubPr>
                  <m:ctrlPr>
                    <w:rPr>
                      <w:rFonts w:ascii="Cambria Math" w:eastAsia="Arial Unicode MS" w:hAnsi="Cambria Math" w:cs="Arial Unicode MS"/>
                      <w:i/>
                      <w:sz w:val="20"/>
                      <w:szCs w:val="20"/>
                    </w:rPr>
                  </m:ctrlPr>
                </m:sSubPr>
                <m:e>
                  <m:r>
                    <w:rPr>
                      <w:rFonts w:ascii="Cambria Math" w:eastAsia="Arial Unicode MS" w:hAnsi="Cambria Math" w:cs="Arial Unicode MS"/>
                      <w:sz w:val="20"/>
                      <w:szCs w:val="20"/>
                    </w:rPr>
                    <m:t>∆H</m:t>
                  </m:r>
                </m:e>
                <m:sub>
                  <m:r>
                    <w:rPr>
                      <w:rFonts w:ascii="Cambria Math" w:eastAsia="Arial Unicode MS" w:hAnsi="Cambria Math" w:cs="Arial Unicode MS"/>
                      <w:sz w:val="20"/>
                      <w:szCs w:val="20"/>
                    </w:rPr>
                    <m:t>i</m:t>
                  </m:r>
                </m:sub>
              </m:sSub>
            </m:oMath>
            <w:r w:rsidRPr="00492A76">
              <w:rPr>
                <w:sz w:val="20"/>
                <w:szCs w:val="20"/>
              </w:rPr>
              <w:t xml:space="preserve">), this element covers uncertainty in </w:t>
            </w:r>
            <m:oMath>
              <m:sSub>
                <m:sSubPr>
                  <m:ctrlPr>
                    <w:rPr>
                      <w:rFonts w:ascii="Cambria Math" w:eastAsiaTheme="minorEastAsia" w:hAnsi="Cambria Math"/>
                      <w:i/>
                      <w:sz w:val="20"/>
                      <w:szCs w:val="20"/>
                    </w:rPr>
                  </m:ctrlPr>
                </m:sSubPr>
                <m:e>
                  <m:r>
                    <w:rPr>
                      <w:rFonts w:ascii="Cambria Math" w:eastAsiaTheme="minorEastAsia" w:hAnsi="Cambria Math"/>
                      <w:sz w:val="20"/>
                      <w:szCs w:val="20"/>
                    </w:rPr>
                    <m:t>∆H</m:t>
                  </m:r>
                </m:e>
                <m:sub>
                  <m:r>
                    <w:rPr>
                      <w:rFonts w:ascii="Cambria Math" w:eastAsiaTheme="minorEastAsia" w:hAnsi="Cambria Math"/>
                      <w:sz w:val="20"/>
                      <w:szCs w:val="20"/>
                    </w:rPr>
                    <m:t>i</m:t>
                  </m:r>
                </m:sub>
              </m:sSub>
            </m:oMath>
            <w:r w:rsidRPr="00492A76">
              <w:rPr>
                <w:rFonts w:eastAsiaTheme="minorEastAsia"/>
                <w:sz w:val="20"/>
                <w:szCs w:val="20"/>
              </w:rPr>
              <w:t xml:space="preserve"> not </w:t>
            </w:r>
            <m:oMath>
              <m:r>
                <w:rPr>
                  <w:rFonts w:ascii="Cambria Math" w:eastAsiaTheme="minorEastAsia" w:hAnsi="Cambria Math"/>
                  <w:sz w:val="20"/>
                  <w:szCs w:val="20"/>
                </w:rPr>
                <m:t>E(∆H)</m:t>
              </m:r>
            </m:oMath>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7E7349B2" w14:textId="77777777" w:rsidR="008354E8" w:rsidRPr="00492A76" w:rsidRDefault="008354E8" w:rsidP="00C21C70">
            <w:pPr>
              <w:rPr>
                <w:sz w:val="20"/>
                <w:szCs w:val="20"/>
              </w:rPr>
            </w:pPr>
            <w:r w:rsidRPr="00492A76">
              <w:rPr>
                <w:sz w:val="20"/>
                <w:szCs w:val="20"/>
              </w:rPr>
              <w:t>Unknown observation error</w:t>
            </w:r>
          </w:p>
        </w:tc>
        <w:tc>
          <w:tcPr>
            <w:tcW w:w="3000" w:type="dxa"/>
            <w:tcBorders>
              <w:top w:val="nil"/>
              <w:left w:val="nil"/>
              <w:bottom w:val="single" w:sz="8" w:space="0" w:color="000000"/>
              <w:right w:val="single" w:sz="8" w:space="0" w:color="000000"/>
            </w:tcBorders>
            <w:tcMar>
              <w:top w:w="100" w:type="dxa"/>
              <w:left w:w="100" w:type="dxa"/>
              <w:bottom w:w="100" w:type="dxa"/>
              <w:right w:w="100" w:type="dxa"/>
            </w:tcMar>
          </w:tcPr>
          <w:p w14:paraId="27DF32EB" w14:textId="77777777" w:rsidR="008354E8" w:rsidRPr="00492A76" w:rsidRDefault="008354E8" w:rsidP="00C21C70">
            <w:pPr>
              <w:rPr>
                <w:sz w:val="20"/>
                <w:szCs w:val="20"/>
              </w:rPr>
            </w:pPr>
            <w:r w:rsidRPr="00492A76">
              <w:rPr>
                <w:sz w:val="20"/>
                <w:szCs w:val="20"/>
              </w:rPr>
              <w:t>Explicit model of the observation process e.g.</w:t>
            </w:r>
          </w:p>
          <w:p w14:paraId="38B12196" w14:textId="77777777" w:rsidR="008354E8" w:rsidRPr="00492A76" w:rsidRDefault="008354E8" w:rsidP="00C21C70">
            <w:pPr>
              <w:rPr>
                <w:sz w:val="20"/>
                <w:szCs w:val="20"/>
              </w:rPr>
            </w:pPr>
            <w:r w:rsidRPr="00492A76">
              <w:rPr>
                <w:sz w:val="20"/>
                <w:szCs w:val="20"/>
              </w:rPr>
              <w:t xml:space="preserve"> </w:t>
            </w:r>
          </w:p>
          <w:p w14:paraId="7E624484" w14:textId="77777777" w:rsidR="008354E8" w:rsidRPr="00492A76" w:rsidRDefault="00000000" w:rsidP="00C21C70">
            <w:pPr>
              <w:rPr>
                <w:sz w:val="20"/>
                <w:szCs w:val="20"/>
              </w:rPr>
            </w:pPr>
            <m:oMathPara>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r>
                  <w:rPr>
                    <w:rFonts w:ascii="Cambria Math" w:hAnsi="Cambria Math"/>
                    <w:sz w:val="20"/>
                    <w:szCs w:val="20"/>
                  </w:rPr>
                  <m:t xml:space="preserve">= </m:t>
                </m:r>
                <m:sSub>
                  <m:sSubPr>
                    <m:ctrlPr>
                      <w:rPr>
                        <w:rFonts w:ascii="Cambria Math" w:eastAsia="Arial Unicode MS" w:hAnsi="Cambria Math" w:cs="Arial Unicode MS"/>
                        <w:i/>
                        <w:sz w:val="20"/>
                        <w:szCs w:val="20"/>
                      </w:rPr>
                    </m:ctrlPr>
                  </m:sSubPr>
                  <m:e>
                    <m:r>
                      <w:rPr>
                        <w:rFonts w:ascii="Cambria Math" w:eastAsia="Arial Unicode MS" w:hAnsi="Cambria Math" w:cs="Arial Unicode MS"/>
                        <w:sz w:val="20"/>
                        <w:szCs w:val="20"/>
                      </w:rPr>
                      <m:t>β</m:t>
                    </m:r>
                  </m:e>
                  <m:sub>
                    <m:r>
                      <w:rPr>
                        <w:rFonts w:ascii="Cambria Math" w:eastAsia="Arial Unicode MS" w:hAnsi="Cambria Math" w:cs="Arial Unicode MS"/>
                        <w:sz w:val="20"/>
                        <w:szCs w:val="20"/>
                      </w:rPr>
                      <m:t>0</m:t>
                    </m:r>
                  </m:sub>
                </m:sSub>
                <m:r>
                  <w:rPr>
                    <w:rFonts w:ascii="Cambria Math" w:eastAsia="Arial Unicode MS" w:hAnsi="Cambria Math" w:cs="Arial Unicode MS"/>
                    <w:sz w:val="20"/>
                    <w:szCs w:val="20"/>
                  </w:rPr>
                  <m:t>+</m:t>
                </m:r>
                <m:sSub>
                  <m:sSubPr>
                    <m:ctrlPr>
                      <w:rPr>
                        <w:rFonts w:ascii="Cambria Math" w:eastAsia="Arial Unicode MS" w:hAnsi="Cambria Math" w:cs="Arial Unicode MS"/>
                        <w:i/>
                        <w:sz w:val="20"/>
                        <w:szCs w:val="20"/>
                      </w:rPr>
                    </m:ctrlPr>
                  </m:sSubPr>
                  <m:e>
                    <m:r>
                      <w:rPr>
                        <w:rFonts w:ascii="Cambria Math" w:eastAsia="Arial Unicode MS" w:hAnsi="Cambria Math" w:cs="Arial Unicode MS"/>
                        <w:sz w:val="20"/>
                        <w:szCs w:val="20"/>
                      </w:rPr>
                      <m:t xml:space="preserve"> β</m:t>
                    </m:r>
                  </m:e>
                  <m:sub>
                    <m:r>
                      <w:rPr>
                        <w:rFonts w:ascii="Cambria Math" w:eastAsia="Arial Unicode MS" w:hAnsi="Cambria Math" w:cs="Arial Unicode MS"/>
                        <w:sz w:val="20"/>
                        <w:szCs w:val="20"/>
                      </w:rPr>
                      <m:t>1</m:t>
                    </m:r>
                  </m:sub>
                </m:sSub>
                <m:r>
                  <w:rPr>
                    <w:rFonts w:ascii="Cambria Math" w:eastAsia="Arial Unicode MS" w:hAnsi="Cambria Math" w:cs="Arial Unicode MS"/>
                    <w:sz w:val="20"/>
                    <w:szCs w:val="20"/>
                  </w:rPr>
                  <m:t xml:space="preserve"> </m:t>
                </m:r>
                <m:sSub>
                  <m:sSubPr>
                    <m:ctrlPr>
                      <w:rPr>
                        <w:rFonts w:ascii="Cambria Math" w:eastAsia="Arial Unicode MS" w:hAnsi="Cambria Math" w:cs="Arial Unicode MS"/>
                        <w:i/>
                        <w:sz w:val="20"/>
                        <w:szCs w:val="20"/>
                      </w:rPr>
                    </m:ctrlPr>
                  </m:sSubPr>
                  <m:e>
                    <m:r>
                      <w:rPr>
                        <w:rFonts w:ascii="Cambria Math" w:eastAsia="Arial Unicode MS" w:hAnsi="Cambria Math" w:cs="Arial Unicode MS"/>
                        <w:sz w:val="20"/>
                        <w:szCs w:val="20"/>
                      </w:rPr>
                      <m:t>Temp</m:t>
                    </m:r>
                  </m:e>
                  <m:sub>
                    <m:r>
                      <w:rPr>
                        <w:rFonts w:ascii="Cambria Math" w:eastAsia="Arial Unicode MS" w:hAnsi="Cambria Math" w:cs="Arial Unicode MS"/>
                        <w:sz w:val="20"/>
                        <w:szCs w:val="20"/>
                      </w:rPr>
                      <m:t>i</m:t>
                    </m:r>
                  </m:sub>
                </m:sSub>
                <m:r>
                  <w:rPr>
                    <w:rFonts w:ascii="Cambria Math" w:eastAsia="Arial Unicode MS" w:hAnsi="Cambria Math" w:cs="Arial Unicode MS"/>
                    <w:sz w:val="20"/>
                    <w:szCs w:val="20"/>
                  </w:rPr>
                  <m:t>+</m:t>
                </m:r>
                <m:sSub>
                  <m:sSubPr>
                    <m:ctrlPr>
                      <w:rPr>
                        <w:rFonts w:ascii="Cambria Math" w:eastAsia="Arial Unicode MS" w:hAnsi="Cambria Math" w:cs="Arial Unicode MS"/>
                        <w:i/>
                        <w:sz w:val="20"/>
                        <w:szCs w:val="20"/>
                      </w:rPr>
                    </m:ctrlPr>
                  </m:sSubPr>
                  <m:e>
                    <m:r>
                      <w:rPr>
                        <w:rFonts w:ascii="Cambria Math" w:eastAsia="Arial Unicode MS" w:hAnsi="Cambria Math" w:cs="Arial Unicode MS"/>
                        <w:sz w:val="20"/>
                        <w:szCs w:val="20"/>
                      </w:rPr>
                      <m:t>ε</m:t>
                    </m:r>
                  </m:e>
                  <m:sub>
                    <m:r>
                      <w:rPr>
                        <w:rFonts w:ascii="Cambria Math" w:eastAsia="Arial Unicode MS" w:hAnsi="Cambria Math" w:cs="Arial Unicode MS"/>
                        <w:sz w:val="20"/>
                        <w:szCs w:val="20"/>
                      </w:rPr>
                      <m:t>i</m:t>
                    </m:r>
                  </m:sub>
                </m:sSub>
              </m:oMath>
            </m:oMathPara>
          </w:p>
          <w:p w14:paraId="1AEB71AB" w14:textId="77777777" w:rsidR="008354E8" w:rsidRPr="00492A76" w:rsidRDefault="00000000" w:rsidP="00C21C70">
            <w:pPr>
              <w:rPr>
                <w:sz w:val="20"/>
                <w:szCs w:val="20"/>
              </w:rPr>
            </w:pPr>
            <m:oMathPara>
              <m:oMath>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i</m:t>
                    </m:r>
                  </m:sub>
                </m:sSub>
                <m:r>
                  <w:rPr>
                    <w:rFonts w:ascii="Cambria Math" w:hAnsi="Cambria Math"/>
                    <w:sz w:val="20"/>
                    <w:szCs w:val="20"/>
                  </w:rPr>
                  <m:t>~N(0,</m:t>
                </m:r>
                <m:sSup>
                  <m:sSupPr>
                    <m:ctrlPr>
                      <w:rPr>
                        <w:rFonts w:ascii="Cambria Math" w:hAnsi="Cambria Math"/>
                        <w:i/>
                        <w:sz w:val="20"/>
                        <w:szCs w:val="20"/>
                      </w:rPr>
                    </m:ctrlPr>
                  </m:sSupPr>
                  <m:e>
                    <m:r>
                      <w:rPr>
                        <w:rFonts w:ascii="Cambria Math" w:hAnsi="Cambria Math"/>
                        <w:sz w:val="20"/>
                        <w:szCs w:val="20"/>
                      </w:rPr>
                      <m:t>σ</m:t>
                    </m:r>
                  </m:e>
                  <m:sup>
                    <m:r>
                      <w:rPr>
                        <w:rFonts w:ascii="Cambria Math" w:hAnsi="Cambria Math"/>
                        <w:sz w:val="20"/>
                        <w:szCs w:val="20"/>
                      </w:rPr>
                      <m:t>2</m:t>
                    </m:r>
                  </m:sup>
                </m:sSup>
                <m:r>
                  <w:rPr>
                    <w:rFonts w:ascii="Cambria Math" w:hAnsi="Cambria Math"/>
                    <w:sz w:val="20"/>
                    <w:szCs w:val="20"/>
                  </w:rPr>
                  <m:t>)</m:t>
                </m:r>
              </m:oMath>
            </m:oMathPara>
          </w:p>
          <w:p w14:paraId="55746E62" w14:textId="77777777" w:rsidR="008354E8" w:rsidRPr="00492A76" w:rsidRDefault="008354E8" w:rsidP="00C21C70">
            <w:pPr>
              <w:rPr>
                <w:sz w:val="20"/>
                <w:szCs w:val="20"/>
              </w:rPr>
            </w:pPr>
          </w:p>
          <w:p w14:paraId="6EBB8775" w14:textId="77777777" w:rsidR="008354E8" w:rsidRPr="00492A76" w:rsidRDefault="00000000" w:rsidP="00C21C70">
            <w:pPr>
              <w:rPr>
                <w:sz w:val="20"/>
                <w:szCs w:val="20"/>
              </w:rPr>
            </w:pPr>
            <m:oMathPara>
              <m:oMath>
                <m:sSub>
                  <m:sSubPr>
                    <m:ctrlPr>
                      <w:rPr>
                        <w:rFonts w:ascii="Cambria Math" w:eastAsia="Arial Unicode MS" w:hAnsi="Cambria Math" w:cs="Arial Unicode MS"/>
                        <w:i/>
                        <w:sz w:val="20"/>
                        <w:szCs w:val="20"/>
                      </w:rPr>
                    </m:ctrlPr>
                  </m:sSubPr>
                  <m:e>
                    <m:r>
                      <w:rPr>
                        <w:rFonts w:ascii="Cambria Math" w:eastAsia="Arial Unicode MS" w:hAnsi="Cambria Math" w:cs="Arial Unicode MS"/>
                        <w:sz w:val="20"/>
                        <w:szCs w:val="20"/>
                      </w:rPr>
                      <m:t>∆H</m:t>
                    </m:r>
                  </m:e>
                  <m:sub>
                    <m:r>
                      <w:rPr>
                        <w:rFonts w:ascii="Cambria Math" w:eastAsia="Arial Unicode MS" w:hAnsi="Cambria Math" w:cs="Arial Unicode MS"/>
                        <w:sz w:val="20"/>
                        <w:szCs w:val="20"/>
                      </w:rPr>
                      <m:t>i</m:t>
                    </m:r>
                  </m:sub>
                </m:sSub>
                <m:r>
                  <m:rPr>
                    <m:sty m:val="p"/>
                  </m:rPr>
                  <w:rPr>
                    <w:rFonts w:ascii="Cambria Math" w:hAnsi="Cambria Math"/>
                    <w:sz w:val="20"/>
                    <w:szCs w:val="20"/>
                  </w:rPr>
                  <m:t>~</m:t>
                </m:r>
                <m:r>
                  <w:rPr>
                    <w:rFonts w:ascii="Cambria Math" w:hAnsi="Cambria Math"/>
                    <w:sz w:val="20"/>
                    <w:szCs w:val="20"/>
                  </w:rPr>
                  <m:t>Pois(</m:t>
                </m:r>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r>
                  <w:rPr>
                    <w:rFonts w:ascii="Cambria Math" w:hAnsi="Cambria Math"/>
                    <w:sz w:val="20"/>
                    <w:szCs w:val="20"/>
                  </w:rPr>
                  <m:t>)</m:t>
                </m:r>
              </m:oMath>
            </m:oMathPara>
          </w:p>
          <w:p w14:paraId="2B4875E3" w14:textId="77777777" w:rsidR="008354E8" w:rsidRPr="00492A76" w:rsidRDefault="008354E8" w:rsidP="00C21C70">
            <w:pPr>
              <w:rPr>
                <w:sz w:val="20"/>
                <w:szCs w:val="20"/>
              </w:rPr>
            </w:pPr>
            <w:r w:rsidRPr="00492A76">
              <w:rPr>
                <w:sz w:val="20"/>
                <w:szCs w:val="20"/>
              </w:rPr>
              <w:t xml:space="preserve"> </w:t>
            </w:r>
          </w:p>
          <w:p w14:paraId="15DF4BFA" w14:textId="77777777" w:rsidR="008354E8" w:rsidRPr="00492A76" w:rsidRDefault="008354E8" w:rsidP="00C21C70">
            <w:pPr>
              <w:rPr>
                <w:sz w:val="20"/>
                <w:szCs w:val="20"/>
              </w:rPr>
            </w:pPr>
            <w:r w:rsidRPr="00492A76">
              <w:rPr>
                <w:sz w:val="20"/>
                <w:szCs w:val="20"/>
              </w:rPr>
              <w:t xml:space="preserve">Where </w:t>
            </w: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i</m:t>
                  </m:r>
                </m:sub>
              </m:sSub>
            </m:oMath>
            <w:r w:rsidRPr="00492A76">
              <w:rPr>
                <w:sz w:val="20"/>
                <w:szCs w:val="20"/>
              </w:rPr>
              <w:t xml:space="preserve"> is the true change in height and </w:t>
            </w:r>
            <m:oMath>
              <m:sSub>
                <m:sSubPr>
                  <m:ctrlPr>
                    <w:rPr>
                      <w:rFonts w:ascii="Cambria Math" w:eastAsia="Arial Unicode MS" w:hAnsi="Cambria Math" w:cs="Arial Unicode MS"/>
                      <w:i/>
                      <w:sz w:val="20"/>
                      <w:szCs w:val="20"/>
                    </w:rPr>
                  </m:ctrlPr>
                </m:sSubPr>
                <m:e>
                  <m:r>
                    <w:rPr>
                      <w:rFonts w:ascii="Cambria Math" w:eastAsia="Arial Unicode MS" w:hAnsi="Cambria Math" w:cs="Arial Unicode MS"/>
                      <w:sz w:val="20"/>
                      <w:szCs w:val="20"/>
                    </w:rPr>
                    <m:t>∆H</m:t>
                  </m:r>
                </m:e>
                <m:sub>
                  <m:r>
                    <w:rPr>
                      <w:rFonts w:ascii="Cambria Math" w:eastAsia="Arial Unicode MS" w:hAnsi="Cambria Math" w:cs="Arial Unicode MS"/>
                      <w:sz w:val="20"/>
                      <w:szCs w:val="20"/>
                    </w:rPr>
                    <m:t>i</m:t>
                  </m:r>
                </m:sub>
              </m:sSub>
            </m:oMath>
            <w:r w:rsidRPr="00492A76">
              <w:rPr>
                <w:sz w:val="20"/>
                <w:szCs w:val="20"/>
              </w:rPr>
              <w:t xml:space="preserve"> is the observed change</w:t>
            </w:r>
          </w:p>
        </w:tc>
      </w:tr>
      <w:tr w:rsidR="008354E8" w:rsidRPr="00492A76" w14:paraId="0E69B02E" w14:textId="77777777" w:rsidTr="00C21C70">
        <w:trPr>
          <w:trHeight w:val="2615"/>
        </w:trPr>
        <w:tc>
          <w:tcPr>
            <w:tcW w:w="1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CE3F53" w14:textId="77777777" w:rsidR="008354E8" w:rsidRPr="00492A76" w:rsidRDefault="008354E8" w:rsidP="00C21C70">
            <w:pPr>
              <w:jc w:val="center"/>
              <w:rPr>
                <w:sz w:val="20"/>
                <w:szCs w:val="20"/>
              </w:rPr>
            </w:pPr>
            <w:r w:rsidRPr="00492A76">
              <w:rPr>
                <w:noProof/>
                <w:sz w:val="20"/>
                <w:szCs w:val="20"/>
              </w:rPr>
              <w:drawing>
                <wp:inline distT="0" distB="0" distL="0" distR="0" wp14:anchorId="4AB9743C" wp14:editId="47AD07ED">
                  <wp:extent cx="720000" cy="775385"/>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0000" cy="775385"/>
                          </a:xfrm>
                          <a:prstGeom prst="rect">
                            <a:avLst/>
                          </a:prstGeom>
                        </pic:spPr>
                      </pic:pic>
                    </a:graphicData>
                  </a:graphic>
                </wp:inline>
              </w:drawing>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86033D0" w14:textId="77777777" w:rsidR="008354E8" w:rsidRPr="00492A76" w:rsidRDefault="008354E8" w:rsidP="00C21C70">
            <w:pPr>
              <w:rPr>
                <w:sz w:val="20"/>
                <w:szCs w:val="20"/>
              </w:rPr>
            </w:pPr>
            <w:r w:rsidRPr="00492A76">
              <w:rPr>
                <w:sz w:val="20"/>
                <w:szCs w:val="20"/>
              </w:rPr>
              <w:t>Temperature (</w:t>
            </w:r>
            <m:oMath>
              <m:sSub>
                <m:sSubPr>
                  <m:ctrlPr>
                    <w:rPr>
                      <w:rFonts w:ascii="Cambria Math" w:hAnsi="Cambria Math"/>
                      <w:i/>
                      <w:sz w:val="20"/>
                      <w:szCs w:val="20"/>
                    </w:rPr>
                  </m:ctrlPr>
                </m:sSubPr>
                <m:e>
                  <m:r>
                    <w:rPr>
                      <w:rFonts w:ascii="Cambria Math" w:hAnsi="Cambria Math"/>
                      <w:sz w:val="20"/>
                      <w:szCs w:val="20"/>
                    </w:rPr>
                    <m:t>Temp</m:t>
                  </m:r>
                </m:e>
                <m:sub>
                  <m:r>
                    <w:rPr>
                      <w:rFonts w:ascii="Cambria Math" w:hAnsi="Cambria Math"/>
                      <w:sz w:val="20"/>
                      <w:szCs w:val="20"/>
                    </w:rPr>
                    <m:t>i</m:t>
                  </m:r>
                </m:sub>
              </m:sSub>
            </m:oMath>
            <w:r w:rsidRPr="00492A76">
              <w:rPr>
                <w:sz w:val="20"/>
                <w:szCs w:val="20"/>
              </w:rPr>
              <w:t>)</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DB0722E" w14:textId="77777777" w:rsidR="008354E8" w:rsidRPr="00492A76" w:rsidRDefault="008354E8" w:rsidP="00C21C70">
            <w:pPr>
              <w:rPr>
                <w:sz w:val="20"/>
                <w:szCs w:val="20"/>
              </w:rPr>
            </w:pPr>
            <w:r w:rsidRPr="00492A76">
              <w:rPr>
                <w:sz w:val="20"/>
                <w:szCs w:val="20"/>
              </w:rPr>
              <w:t>Unknown measurement error</w:t>
            </w:r>
          </w:p>
        </w:tc>
        <w:tc>
          <w:tcPr>
            <w:tcW w:w="300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5190A5B" w14:textId="77777777" w:rsidR="008354E8" w:rsidRPr="00492A76" w:rsidRDefault="008354E8" w:rsidP="00C21C70">
            <w:pPr>
              <w:rPr>
                <w:sz w:val="20"/>
                <w:szCs w:val="20"/>
              </w:rPr>
            </w:pPr>
            <w:r w:rsidRPr="00492A76">
              <w:rPr>
                <w:sz w:val="20"/>
                <w:szCs w:val="20"/>
              </w:rPr>
              <w:t xml:space="preserve">Explicit estimation of the variation introduced to the explanatory variable by measurement error </w:t>
            </w:r>
            <m:oMath>
              <m:sSubSup>
                <m:sSubSupPr>
                  <m:ctrlPr>
                    <w:rPr>
                      <w:rFonts w:ascii="Cambria Math" w:hAnsi="Cambria Math"/>
                      <w:i/>
                      <w:iCs/>
                      <w:sz w:val="20"/>
                      <w:szCs w:val="20"/>
                      <w:lang w:val="en-GB"/>
                    </w:rPr>
                  </m:ctrlPr>
                </m:sSubSupPr>
                <m:e>
                  <m:r>
                    <w:rPr>
                      <w:rFonts w:ascii="Cambria Math" w:hAnsi="Cambria Math"/>
                      <w:sz w:val="20"/>
                      <w:szCs w:val="20"/>
                    </w:rPr>
                    <m:t>(σ</m:t>
                  </m:r>
                </m:e>
                <m:sub>
                  <m:r>
                    <w:rPr>
                      <w:rFonts w:ascii="Cambria Math" w:hAnsi="Cambria Math"/>
                      <w:sz w:val="20"/>
                      <w:szCs w:val="20"/>
                    </w:rPr>
                    <m:t>η</m:t>
                  </m:r>
                </m:sub>
                <m:sup>
                  <m:r>
                    <w:rPr>
                      <w:rFonts w:ascii="Cambria Math" w:hAnsi="Cambria Math"/>
                      <w:sz w:val="20"/>
                      <w:szCs w:val="20"/>
                    </w:rPr>
                    <m:t>2</m:t>
                  </m:r>
                </m:sup>
              </m:sSubSup>
              <m:r>
                <w:rPr>
                  <w:rFonts w:ascii="Cambria Math" w:hAnsi="Cambria Math"/>
                  <w:sz w:val="20"/>
                  <w:szCs w:val="20"/>
                </w:rPr>
                <m:t>)</m:t>
              </m:r>
            </m:oMath>
            <w:r w:rsidRPr="00492A76">
              <w:rPr>
                <w:sz w:val="20"/>
                <w:szCs w:val="20"/>
              </w:rPr>
              <w:t xml:space="preserve"> e.g.</w:t>
            </w:r>
          </w:p>
          <w:p w14:paraId="6CAF0F03" w14:textId="77777777" w:rsidR="008354E8" w:rsidRPr="00492A76" w:rsidRDefault="008354E8" w:rsidP="00C21C70">
            <w:pPr>
              <w:rPr>
                <w:sz w:val="20"/>
                <w:szCs w:val="20"/>
              </w:rPr>
            </w:pPr>
          </w:p>
          <w:p w14:paraId="12DFCAA6" w14:textId="77777777" w:rsidR="008354E8" w:rsidRPr="00492A76" w:rsidRDefault="00000000" w:rsidP="00C21C70">
            <w:pPr>
              <w:rPr>
                <w:rFonts w:eastAsiaTheme="minorEastAsia"/>
                <w:iCs/>
                <w:sz w:val="20"/>
                <w:szCs w:val="20"/>
              </w:rPr>
            </w:pPr>
            <m:oMathPara>
              <m:oMathParaPr>
                <m:jc m:val="centerGroup"/>
              </m:oMathParaPr>
              <m:oMath>
                <m:sSubSup>
                  <m:sSubSupPr>
                    <m:ctrlPr>
                      <w:rPr>
                        <w:rFonts w:ascii="Cambria Math" w:hAnsi="Cambria Math"/>
                        <w:i/>
                        <w:iCs/>
                        <w:sz w:val="20"/>
                        <w:szCs w:val="20"/>
                      </w:rPr>
                    </m:ctrlPr>
                  </m:sSubSupPr>
                  <m:e>
                    <m:r>
                      <w:rPr>
                        <w:rFonts w:ascii="Cambria Math" w:hAnsi="Cambria Math"/>
                        <w:sz w:val="20"/>
                        <w:szCs w:val="20"/>
                      </w:rPr>
                      <m:t>Temp</m:t>
                    </m:r>
                  </m:e>
                  <m:sub>
                    <m:r>
                      <w:rPr>
                        <w:rFonts w:ascii="Cambria Math" w:hAnsi="Cambria Math"/>
                        <w:sz w:val="20"/>
                        <w:szCs w:val="20"/>
                      </w:rPr>
                      <m:t>i</m:t>
                    </m:r>
                  </m:sub>
                  <m:sup>
                    <m:r>
                      <w:rPr>
                        <w:rFonts w:ascii="Cambria Math" w:hAnsi="Cambria Math"/>
                        <w:sz w:val="20"/>
                        <w:szCs w:val="20"/>
                      </w:rPr>
                      <m:t>*</m:t>
                    </m:r>
                  </m:sup>
                </m:sSubSup>
                <m:r>
                  <m:rPr>
                    <m:sty m:val="p"/>
                  </m:rPr>
                  <w:rPr>
                    <w:rFonts w:ascii="Cambria Math" w:hAnsi="Cambria Math"/>
                    <w:sz w:val="20"/>
                    <w:szCs w:val="20"/>
                  </w:rPr>
                  <m:t>= </m:t>
                </m:r>
                <m:sSub>
                  <m:sSubPr>
                    <m:ctrlPr>
                      <w:rPr>
                        <w:rFonts w:ascii="Cambria Math" w:hAnsi="Cambria Math"/>
                        <w:i/>
                        <w:iCs/>
                        <w:sz w:val="20"/>
                        <w:szCs w:val="20"/>
                      </w:rPr>
                    </m:ctrlPr>
                  </m:sSubPr>
                  <m:e>
                    <m:r>
                      <w:rPr>
                        <w:rFonts w:ascii="Cambria Math" w:hAnsi="Cambria Math"/>
                        <w:sz w:val="20"/>
                        <w:szCs w:val="20"/>
                      </w:rPr>
                      <m:t>Temp</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η</m:t>
                    </m:r>
                  </m:e>
                  <m:sub>
                    <m:r>
                      <w:rPr>
                        <w:rFonts w:ascii="Cambria Math" w:hAnsi="Cambria Math"/>
                        <w:sz w:val="20"/>
                        <w:szCs w:val="20"/>
                      </w:rPr>
                      <m:t>i</m:t>
                    </m:r>
                  </m:sub>
                </m:sSub>
              </m:oMath>
            </m:oMathPara>
          </w:p>
          <w:p w14:paraId="2E6DECCA" w14:textId="77777777" w:rsidR="008354E8" w:rsidRPr="00492A76" w:rsidRDefault="00000000" w:rsidP="00C21C70">
            <w:pPr>
              <w:rPr>
                <w:rFonts w:eastAsiaTheme="minorEastAsia"/>
                <w:iCs/>
                <w:sz w:val="20"/>
                <w:szCs w:val="20"/>
              </w:rPr>
            </w:pPr>
            <m:oMathPara>
              <m:oMathParaPr>
                <m:jc m:val="centerGroup"/>
              </m:oMathParaPr>
              <m:oMath>
                <m:sSub>
                  <m:sSubPr>
                    <m:ctrlPr>
                      <w:rPr>
                        <w:rFonts w:ascii="Cambria Math" w:hAnsi="Cambria Math"/>
                        <w:i/>
                        <w:iCs/>
                        <w:sz w:val="20"/>
                        <w:szCs w:val="20"/>
                        <w:lang w:val="en-GB"/>
                      </w:rPr>
                    </m:ctrlPr>
                  </m:sSubPr>
                  <m:e>
                    <m:r>
                      <w:rPr>
                        <w:rFonts w:ascii="Cambria Math" w:hAnsi="Cambria Math"/>
                        <w:sz w:val="20"/>
                        <w:szCs w:val="20"/>
                      </w:rPr>
                      <m:t>η</m:t>
                    </m:r>
                  </m:e>
                  <m:sub>
                    <m:r>
                      <w:rPr>
                        <w:rFonts w:ascii="Cambria Math" w:hAnsi="Cambria Math"/>
                        <w:sz w:val="20"/>
                        <w:szCs w:val="20"/>
                      </w:rPr>
                      <m:t>i</m:t>
                    </m:r>
                  </m:sub>
                </m:sSub>
                <m:r>
                  <m:rPr>
                    <m:sty m:val="p"/>
                  </m:rPr>
                  <w:rPr>
                    <w:rFonts w:ascii="Cambria Math" w:hAnsi="Cambria Math"/>
                    <w:sz w:val="20"/>
                    <w:szCs w:val="20"/>
                  </w:rPr>
                  <m:t>~N(</m:t>
                </m:r>
                <m:r>
                  <w:rPr>
                    <w:rFonts w:ascii="Cambria Math" w:hAnsi="Cambria Math"/>
                    <w:sz w:val="20"/>
                    <w:szCs w:val="20"/>
                  </w:rPr>
                  <m:t>0, </m:t>
                </m:r>
                <m:sSubSup>
                  <m:sSubSupPr>
                    <m:ctrlPr>
                      <w:rPr>
                        <w:rFonts w:ascii="Cambria Math" w:hAnsi="Cambria Math"/>
                        <w:i/>
                        <w:iCs/>
                        <w:sz w:val="20"/>
                        <w:szCs w:val="20"/>
                        <w:lang w:val="en-GB"/>
                      </w:rPr>
                    </m:ctrlPr>
                  </m:sSubSupPr>
                  <m:e>
                    <m:r>
                      <w:rPr>
                        <w:rFonts w:ascii="Cambria Math" w:hAnsi="Cambria Math"/>
                        <w:sz w:val="20"/>
                        <w:szCs w:val="20"/>
                      </w:rPr>
                      <m:t>σ</m:t>
                    </m:r>
                  </m:e>
                  <m:sub>
                    <m:r>
                      <w:rPr>
                        <w:rFonts w:ascii="Cambria Math" w:hAnsi="Cambria Math"/>
                        <w:sz w:val="20"/>
                        <w:szCs w:val="20"/>
                      </w:rPr>
                      <m:t>η</m:t>
                    </m:r>
                  </m:sub>
                  <m:sup>
                    <m:r>
                      <w:rPr>
                        <w:rFonts w:ascii="Cambria Math" w:hAnsi="Cambria Math"/>
                        <w:sz w:val="20"/>
                        <w:szCs w:val="20"/>
                      </w:rPr>
                      <m:t>2</m:t>
                    </m:r>
                  </m:sup>
                </m:sSubSup>
                <m:r>
                  <w:rPr>
                    <w:rFonts w:ascii="Cambria Math" w:hAnsi="Cambria Math"/>
                    <w:sz w:val="20"/>
                    <w:szCs w:val="20"/>
                  </w:rPr>
                  <m:t>)</m:t>
                </m:r>
              </m:oMath>
            </m:oMathPara>
          </w:p>
          <w:p w14:paraId="4A21DAD9" w14:textId="77777777" w:rsidR="008354E8" w:rsidRPr="00492A76" w:rsidRDefault="008354E8" w:rsidP="00C21C70">
            <w:pPr>
              <w:rPr>
                <w:rFonts w:eastAsiaTheme="minorEastAsia"/>
                <w:iCs/>
                <w:sz w:val="20"/>
                <w:szCs w:val="20"/>
              </w:rPr>
            </w:pPr>
          </w:p>
          <w:p w14:paraId="0FD58C07" w14:textId="77777777" w:rsidR="008354E8" w:rsidRPr="00492A76" w:rsidRDefault="008354E8" w:rsidP="00C21C70">
            <w:pPr>
              <w:rPr>
                <w:sz w:val="20"/>
                <w:szCs w:val="20"/>
              </w:rPr>
            </w:pPr>
            <w:r w:rsidRPr="00492A76">
              <w:rPr>
                <w:rFonts w:eastAsiaTheme="minorEastAsia"/>
                <w:iCs/>
                <w:sz w:val="20"/>
                <w:szCs w:val="20"/>
              </w:rPr>
              <w:t xml:space="preserve">Where </w:t>
            </w:r>
            <m:oMath>
              <m:sSubSup>
                <m:sSubSupPr>
                  <m:ctrlPr>
                    <w:rPr>
                      <w:rFonts w:ascii="Cambria Math" w:hAnsi="Cambria Math"/>
                      <w:i/>
                      <w:iCs/>
                      <w:sz w:val="20"/>
                      <w:szCs w:val="20"/>
                    </w:rPr>
                  </m:ctrlPr>
                </m:sSubSupPr>
                <m:e>
                  <m:r>
                    <w:rPr>
                      <w:rFonts w:ascii="Cambria Math" w:hAnsi="Cambria Math"/>
                      <w:sz w:val="20"/>
                      <w:szCs w:val="20"/>
                    </w:rPr>
                    <m:t>Temp</m:t>
                  </m:r>
                </m:e>
                <m:sub>
                  <m:r>
                    <w:rPr>
                      <w:rFonts w:ascii="Cambria Math" w:hAnsi="Cambria Math"/>
                      <w:sz w:val="20"/>
                      <w:szCs w:val="20"/>
                    </w:rPr>
                    <m:t>i</m:t>
                  </m:r>
                </m:sub>
                <m:sup>
                  <m:r>
                    <w:rPr>
                      <w:rFonts w:ascii="Cambria Math" w:hAnsi="Cambria Math"/>
                      <w:sz w:val="20"/>
                      <w:szCs w:val="20"/>
                    </w:rPr>
                    <m:t>*</m:t>
                  </m:r>
                </m:sup>
              </m:sSubSup>
            </m:oMath>
            <w:r w:rsidRPr="00492A76">
              <w:rPr>
                <w:rFonts w:eastAsiaTheme="minorEastAsia"/>
                <w:iCs/>
                <w:sz w:val="20"/>
                <w:szCs w:val="20"/>
              </w:rPr>
              <w:t xml:space="preserve"> is the true temperature and </w:t>
            </w:r>
            <m:oMath>
              <m:sSub>
                <m:sSubPr>
                  <m:ctrlPr>
                    <w:rPr>
                      <w:rFonts w:ascii="Cambria Math" w:hAnsi="Cambria Math"/>
                      <w:i/>
                      <w:iCs/>
                      <w:sz w:val="20"/>
                      <w:szCs w:val="20"/>
                    </w:rPr>
                  </m:ctrlPr>
                </m:sSubPr>
                <m:e>
                  <m:r>
                    <w:rPr>
                      <w:rFonts w:ascii="Cambria Math" w:hAnsi="Cambria Math"/>
                      <w:sz w:val="20"/>
                      <w:szCs w:val="20"/>
                    </w:rPr>
                    <m:t>Temp</m:t>
                  </m:r>
                </m:e>
                <m:sub>
                  <m:r>
                    <w:rPr>
                      <w:rFonts w:ascii="Cambria Math" w:hAnsi="Cambria Math"/>
                      <w:sz w:val="20"/>
                      <w:szCs w:val="20"/>
                    </w:rPr>
                    <m:t>i</m:t>
                  </m:r>
                </m:sub>
              </m:sSub>
            </m:oMath>
            <w:r w:rsidRPr="00492A76">
              <w:rPr>
                <w:rFonts w:eastAsiaTheme="minorEastAsia"/>
                <w:iCs/>
                <w:sz w:val="20"/>
                <w:szCs w:val="20"/>
              </w:rPr>
              <w:t xml:space="preserve"> is the observed temperature</w:t>
            </w:r>
          </w:p>
        </w:tc>
      </w:tr>
      <w:tr w:rsidR="008354E8" w:rsidRPr="00492A76" w14:paraId="27923F6A" w14:textId="77777777" w:rsidTr="00C21C70">
        <w:trPr>
          <w:trHeight w:val="1340"/>
        </w:trPr>
        <w:tc>
          <w:tcPr>
            <w:tcW w:w="1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987AB4" w14:textId="77777777" w:rsidR="008354E8" w:rsidRPr="00492A76" w:rsidRDefault="008354E8" w:rsidP="00C21C70">
            <w:pPr>
              <w:jc w:val="center"/>
              <w:rPr>
                <w:sz w:val="20"/>
                <w:szCs w:val="20"/>
              </w:rPr>
            </w:pPr>
            <w:r w:rsidRPr="00492A76">
              <w:rPr>
                <w:noProof/>
                <w:sz w:val="20"/>
                <w:szCs w:val="20"/>
              </w:rPr>
              <w:drawing>
                <wp:inline distT="0" distB="0" distL="0" distR="0" wp14:anchorId="5415D8AD" wp14:editId="65264CEC">
                  <wp:extent cx="720000" cy="673333"/>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0000" cy="673333"/>
                          </a:xfrm>
                          <a:prstGeom prst="rect">
                            <a:avLst/>
                          </a:prstGeom>
                        </pic:spPr>
                      </pic:pic>
                    </a:graphicData>
                  </a:graphic>
                </wp:inline>
              </w:drawing>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FA80262" w14:textId="77777777" w:rsidR="008354E8" w:rsidRPr="00492A76" w:rsidRDefault="008354E8" w:rsidP="00C21C70">
            <w:pPr>
              <w:rPr>
                <w:sz w:val="20"/>
                <w:szCs w:val="20"/>
              </w:rPr>
            </w:pPr>
            <w:r w:rsidRPr="00492A76">
              <w:rPr>
                <w:sz w:val="20"/>
                <w:szCs w:val="20"/>
              </w:rPr>
              <w:t>Estimates of: Intercept (</w:t>
            </w:r>
            <m:oMath>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β</m:t>
                      </m:r>
                    </m:e>
                  </m:acc>
                </m:e>
                <m:sub>
                  <m:r>
                    <w:rPr>
                      <w:rFonts w:ascii="Cambria Math" w:hAnsi="Cambria Math"/>
                      <w:sz w:val="20"/>
                      <w:szCs w:val="20"/>
                    </w:rPr>
                    <m:t>0</m:t>
                  </m:r>
                </m:sub>
              </m:sSub>
            </m:oMath>
            <w:r w:rsidRPr="00492A76">
              <w:rPr>
                <w:sz w:val="20"/>
                <w:szCs w:val="20"/>
              </w:rPr>
              <w:t>), slope of relationship (</w:t>
            </w:r>
            <m:oMath>
              <m:sSub>
                <m:sSubPr>
                  <m:ctrlPr>
                    <w:rPr>
                      <w:rFonts w:ascii="Cambria Math" w:hAnsi="Cambria Math"/>
                      <w:i/>
                      <w:sz w:val="20"/>
                      <w:szCs w:val="20"/>
                    </w:rPr>
                  </m:ctrlPr>
                </m:sSubPr>
                <m:e>
                  <m:acc>
                    <m:accPr>
                      <m:ctrlPr>
                        <w:rPr>
                          <w:rFonts w:ascii="Cambria Math" w:hAnsi="Cambria Math"/>
                          <w:i/>
                          <w:sz w:val="20"/>
                          <w:szCs w:val="20"/>
                        </w:rPr>
                      </m:ctrlPr>
                    </m:accPr>
                    <m:e>
                      <m:r>
                        <w:rPr>
                          <w:rFonts w:ascii="Cambria Math" w:hAnsi="Cambria Math"/>
                          <w:sz w:val="20"/>
                          <w:szCs w:val="20"/>
                        </w:rPr>
                        <m:t>β</m:t>
                      </m:r>
                    </m:e>
                  </m:acc>
                </m:e>
                <m:sub>
                  <m:r>
                    <w:rPr>
                      <w:rFonts w:ascii="Cambria Math" w:hAnsi="Cambria Math"/>
                      <w:sz w:val="20"/>
                      <w:szCs w:val="20"/>
                    </w:rPr>
                    <m:t>1</m:t>
                  </m:r>
                </m:sub>
              </m:sSub>
            </m:oMath>
            <w:r w:rsidRPr="00492A76">
              <w:rPr>
                <w:sz w:val="20"/>
                <w:szCs w:val="20"/>
              </w:rPr>
              <w:t>), and variance of the error (</w:t>
            </w:r>
            <m:oMath>
              <m:sSup>
                <m:sSupPr>
                  <m:ctrlPr>
                    <w:rPr>
                      <w:rFonts w:ascii="Cambria Math" w:hAnsi="Cambria Math"/>
                      <w:i/>
                      <w:sz w:val="20"/>
                      <w:szCs w:val="20"/>
                    </w:rPr>
                  </m:ctrlPr>
                </m:sSupPr>
                <m:e>
                  <m:acc>
                    <m:accPr>
                      <m:ctrlPr>
                        <w:rPr>
                          <w:rFonts w:ascii="Cambria Math" w:hAnsi="Cambria Math"/>
                          <w:i/>
                          <w:sz w:val="20"/>
                          <w:szCs w:val="20"/>
                        </w:rPr>
                      </m:ctrlPr>
                    </m:accPr>
                    <m:e>
                      <m:r>
                        <w:rPr>
                          <w:rFonts w:ascii="Cambria Math" w:hAnsi="Cambria Math"/>
                          <w:sz w:val="20"/>
                          <w:szCs w:val="20"/>
                        </w:rPr>
                        <m:t>σ</m:t>
                      </m:r>
                    </m:e>
                  </m:acc>
                </m:e>
                <m:sup>
                  <m:r>
                    <w:rPr>
                      <w:rFonts w:ascii="Cambria Math" w:hAnsi="Cambria Math"/>
                      <w:sz w:val="20"/>
                      <w:szCs w:val="20"/>
                    </w:rPr>
                    <m:t>2</m:t>
                  </m:r>
                </m:sup>
              </m:sSup>
            </m:oMath>
            <w:r w:rsidRPr="00492A76">
              <w:rPr>
                <w:sz w:val="20"/>
                <w:szCs w:val="20"/>
              </w:rPr>
              <w:t>)</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B70763D" w14:textId="77777777" w:rsidR="008354E8" w:rsidRPr="00492A76" w:rsidRDefault="008354E8" w:rsidP="00C21C70">
            <w:pPr>
              <w:rPr>
                <w:sz w:val="20"/>
                <w:szCs w:val="20"/>
              </w:rPr>
            </w:pPr>
            <w:r w:rsidRPr="00492A76">
              <w:rPr>
                <w:sz w:val="20"/>
                <w:szCs w:val="20"/>
              </w:rPr>
              <w:t>A range of values could be plausible as the ‘true’ parameter value for any parameter</w:t>
            </w:r>
          </w:p>
        </w:tc>
        <w:tc>
          <w:tcPr>
            <w:tcW w:w="300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5475001D" w14:textId="77777777" w:rsidR="008354E8" w:rsidRPr="00492A76" w:rsidRDefault="008354E8" w:rsidP="00C21C70">
            <w:pPr>
              <w:rPr>
                <w:sz w:val="20"/>
                <w:szCs w:val="20"/>
              </w:rPr>
            </w:pPr>
            <w:r w:rsidRPr="00492A76">
              <w:rPr>
                <w:sz w:val="20"/>
                <w:szCs w:val="20"/>
              </w:rPr>
              <w:t>Standard error/confidence interval</w:t>
            </w:r>
          </w:p>
        </w:tc>
      </w:tr>
      <w:tr w:rsidR="008354E8" w:rsidRPr="00492A76" w14:paraId="2F74919A" w14:textId="77777777" w:rsidTr="00C21C70">
        <w:trPr>
          <w:trHeight w:val="1790"/>
        </w:trPr>
        <w:tc>
          <w:tcPr>
            <w:tcW w:w="1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97880C" w14:textId="77777777" w:rsidR="008354E8" w:rsidRPr="00492A76" w:rsidRDefault="008354E8" w:rsidP="00C21C70">
            <w:pPr>
              <w:jc w:val="center"/>
              <w:rPr>
                <w:sz w:val="20"/>
                <w:szCs w:val="20"/>
              </w:rPr>
            </w:pPr>
            <w:r w:rsidRPr="00492A76">
              <w:rPr>
                <w:noProof/>
                <w:sz w:val="20"/>
                <w:szCs w:val="20"/>
              </w:rPr>
              <w:drawing>
                <wp:inline distT="0" distB="0" distL="0" distR="0" wp14:anchorId="0961DF0B" wp14:editId="0AB64C4A">
                  <wp:extent cx="720000" cy="707586"/>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20000" cy="707586"/>
                          </a:xfrm>
                          <a:prstGeom prst="rect">
                            <a:avLst/>
                          </a:prstGeom>
                        </pic:spPr>
                      </pic:pic>
                    </a:graphicData>
                  </a:graphic>
                </wp:inline>
              </w:drawing>
            </w:r>
          </w:p>
        </w:tc>
        <w:tc>
          <w:tcPr>
            <w:tcW w:w="22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04AF339" w14:textId="77777777" w:rsidR="008354E8" w:rsidRPr="00492A76" w:rsidRDefault="008354E8" w:rsidP="00C21C70">
            <w:pPr>
              <w:rPr>
                <w:sz w:val="20"/>
                <w:szCs w:val="20"/>
              </w:rPr>
            </w:pPr>
            <w:r w:rsidRPr="00492A76">
              <w:rPr>
                <w:sz w:val="20"/>
                <w:szCs w:val="20"/>
              </w:rPr>
              <w:t>The structure of the equation</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661BAC2" w14:textId="77777777" w:rsidR="008354E8" w:rsidRPr="00492A76" w:rsidRDefault="008354E8" w:rsidP="00C21C70">
            <w:pPr>
              <w:rPr>
                <w:sz w:val="20"/>
                <w:szCs w:val="20"/>
              </w:rPr>
            </w:pPr>
            <w:r w:rsidRPr="00492A76">
              <w:rPr>
                <w:sz w:val="20"/>
                <w:szCs w:val="20"/>
              </w:rPr>
              <w:t xml:space="preserve">Other processes could influence change in plant height </w:t>
            </w:r>
            <w:proofErr w:type="gramStart"/>
            <w:r w:rsidRPr="00492A76">
              <w:rPr>
                <w:sz w:val="20"/>
                <w:szCs w:val="20"/>
              </w:rPr>
              <w:t>e.g.</w:t>
            </w:r>
            <w:proofErr w:type="gramEnd"/>
            <w:r w:rsidRPr="00492A76">
              <w:rPr>
                <w:sz w:val="20"/>
                <w:szCs w:val="20"/>
              </w:rPr>
              <w:t xml:space="preserve"> rainfall, or it could even be a non-linear relationship with temperature</w:t>
            </w:r>
          </w:p>
        </w:tc>
        <w:tc>
          <w:tcPr>
            <w:tcW w:w="3000"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E467147" w14:textId="77777777" w:rsidR="008354E8" w:rsidRPr="00492A76" w:rsidRDefault="008354E8" w:rsidP="00C21C70">
            <w:pPr>
              <w:rPr>
                <w:sz w:val="20"/>
                <w:szCs w:val="20"/>
              </w:rPr>
            </w:pPr>
            <w:r w:rsidRPr="00492A76">
              <w:rPr>
                <w:sz w:val="20"/>
                <w:szCs w:val="20"/>
              </w:rPr>
              <w:t xml:space="preserve">Comparison of alternative formulations </w:t>
            </w:r>
            <w:proofErr w:type="gramStart"/>
            <w:r w:rsidRPr="00492A76">
              <w:rPr>
                <w:sz w:val="20"/>
                <w:szCs w:val="20"/>
              </w:rPr>
              <w:t>e.g.</w:t>
            </w:r>
            <w:proofErr w:type="gramEnd"/>
            <w:r w:rsidRPr="00492A76">
              <w:rPr>
                <w:sz w:val="20"/>
                <w:szCs w:val="20"/>
              </w:rPr>
              <w:t xml:space="preserve"> non-linear structure or additional explanatory variables</w:t>
            </w:r>
          </w:p>
        </w:tc>
      </w:tr>
    </w:tbl>
    <w:p w14:paraId="26028E7F" w14:textId="77777777" w:rsidR="008354E8" w:rsidRPr="009A29E4" w:rsidRDefault="008354E8" w:rsidP="008354E8">
      <w:pPr>
        <w:rPr>
          <w:rFonts w:ascii="Times New Roman" w:eastAsia="Times New Roman" w:hAnsi="Times New Roman" w:cs="Times New Roman"/>
          <w:i/>
        </w:rPr>
      </w:pPr>
      <w:r w:rsidRPr="009A29E4">
        <w:rPr>
          <w:rFonts w:ascii="Times New Roman" w:eastAsia="Times New Roman" w:hAnsi="Times New Roman" w:cs="Times New Roman"/>
          <w:i/>
        </w:rPr>
        <w:t xml:space="preserve"> </w:t>
      </w:r>
    </w:p>
    <w:p w14:paraId="4B2177E7" w14:textId="77777777" w:rsidR="008354E8" w:rsidRPr="009A29E4" w:rsidRDefault="008354E8" w:rsidP="008354E8">
      <w:pPr>
        <w:rPr>
          <w:i/>
        </w:rPr>
      </w:pPr>
      <w:r w:rsidRPr="009A29E4">
        <w:rPr>
          <w:i/>
        </w:rPr>
        <w:lastRenderedPageBreak/>
        <w:t>Model type definitions</w:t>
      </w:r>
    </w:p>
    <w:p w14:paraId="5E01A39F" w14:textId="77777777" w:rsidR="008354E8" w:rsidRPr="00492A76" w:rsidRDefault="008354E8" w:rsidP="008354E8">
      <w:pPr>
        <w:rPr>
          <w:i/>
          <w:sz w:val="20"/>
          <w:szCs w:val="20"/>
        </w:rPr>
      </w:pPr>
      <w:r w:rsidRPr="00492A76">
        <w:rPr>
          <w:i/>
          <w:sz w:val="20"/>
          <w:szCs w:val="20"/>
        </w:rPr>
        <w:t xml:space="preserve"> </w:t>
      </w:r>
    </w:p>
    <w:p w14:paraId="7FEEE845" w14:textId="77777777" w:rsidR="008354E8" w:rsidRPr="009A29E4" w:rsidRDefault="008354E8" w:rsidP="008354E8">
      <w:r w:rsidRPr="009A29E4">
        <w:t xml:space="preserve">While the term ‘model’ is often used as shorthand in specific disciplines to refer to the predominant model type, here we take a broader approach and identify three key types of </w:t>
      </w:r>
      <w:proofErr w:type="gramStart"/>
      <w:r w:rsidRPr="009A29E4">
        <w:t>model</w:t>
      </w:r>
      <w:proofErr w:type="gramEnd"/>
      <w:r w:rsidRPr="009A29E4">
        <w:t>, which are defined below.</w:t>
      </w:r>
    </w:p>
    <w:p w14:paraId="0B519349" w14:textId="77777777" w:rsidR="008354E8" w:rsidRPr="009A29E4" w:rsidRDefault="008354E8" w:rsidP="008354E8">
      <w:pPr>
        <w:rPr>
          <w:rFonts w:ascii="Times New Roman" w:eastAsia="Times New Roman" w:hAnsi="Times New Roman" w:cs="Times New Roman"/>
          <w:i/>
        </w:rPr>
      </w:pPr>
    </w:p>
    <w:p w14:paraId="538C0081" w14:textId="77777777" w:rsidR="008354E8" w:rsidRPr="009A29E4" w:rsidRDefault="008354E8" w:rsidP="008354E8">
      <w:pPr>
        <w:numPr>
          <w:ilvl w:val="0"/>
          <w:numId w:val="7"/>
        </w:numPr>
        <w:suppressAutoHyphens w:val="0"/>
      </w:pPr>
      <w:r w:rsidRPr="009A29E4">
        <w:rPr>
          <w:i/>
        </w:rPr>
        <w:t>Statistical models</w:t>
      </w:r>
      <w:r w:rsidRPr="009A29E4">
        <w:rPr>
          <w:b/>
        </w:rPr>
        <w:t xml:space="preserve">. </w:t>
      </w:r>
      <w:r w:rsidRPr="009A29E4">
        <w:t>A mathematical model that represents a data generation process. These models aim to say something about a population of interest based on data from a sample taken from that population. Examples of statistical models are linear regression, t-test, analysis of variance.</w:t>
      </w:r>
    </w:p>
    <w:p w14:paraId="3CFC3C6A" w14:textId="2EA8D1E2" w:rsidR="008354E8" w:rsidRPr="009A29E4" w:rsidRDefault="008354E8" w:rsidP="008354E8">
      <w:pPr>
        <w:numPr>
          <w:ilvl w:val="0"/>
          <w:numId w:val="7"/>
        </w:numPr>
        <w:suppressAutoHyphens w:val="0"/>
      </w:pPr>
      <w:r w:rsidRPr="009A29E4">
        <w:rPr>
          <w:i/>
        </w:rPr>
        <w:t>Dynamical models (</w:t>
      </w:r>
      <w:r w:rsidR="00C42C5F">
        <w:rPr>
          <w:i/>
        </w:rPr>
        <w:t>including</w:t>
      </w:r>
      <w:r w:rsidRPr="009A29E4">
        <w:rPr>
          <w:i/>
        </w:rPr>
        <w:t xml:space="preserve"> mechanistic</w:t>
      </w:r>
      <w:r w:rsidR="00C42C5F">
        <w:rPr>
          <w:i/>
        </w:rPr>
        <w:t xml:space="preserve"> models</w:t>
      </w:r>
      <w:r w:rsidRPr="009A29E4">
        <w:rPr>
          <w:i/>
        </w:rPr>
        <w:t xml:space="preserve">). </w:t>
      </w:r>
      <w:r w:rsidRPr="009A29E4">
        <w:t>A mathematical model based on fundamental understanding of natural processes (</w:t>
      </w:r>
      <w:proofErr w:type="gramStart"/>
      <w:r w:rsidRPr="009A29E4">
        <w:t>e.g.</w:t>
      </w:r>
      <w:proofErr w:type="gramEnd"/>
      <w:r w:rsidRPr="009A29E4">
        <w:t xml:space="preserve"> physical or biochemical laws). Dynamical models take the form of a series of equations based on physical and biochemical principles that are used to understand systems where there is change, growth, or development </w:t>
      </w:r>
      <w:proofErr w:type="gramStart"/>
      <w:r w:rsidRPr="009A29E4">
        <w:t>e.g.</w:t>
      </w:r>
      <w:proofErr w:type="gramEnd"/>
      <w:r w:rsidRPr="009A29E4">
        <w:t xml:space="preserve"> the climate system. They can be used to fit to or explain observed data or model output. Often applied to dynamical systems.</w:t>
      </w:r>
    </w:p>
    <w:p w14:paraId="33A68966" w14:textId="77777777" w:rsidR="008354E8" w:rsidRPr="009A29E4" w:rsidRDefault="008354E8" w:rsidP="008354E8">
      <w:pPr>
        <w:numPr>
          <w:ilvl w:val="0"/>
          <w:numId w:val="7"/>
        </w:numPr>
        <w:suppressAutoHyphens w:val="0"/>
      </w:pPr>
      <w:r w:rsidRPr="009A29E4">
        <w:rPr>
          <w:i/>
        </w:rPr>
        <w:t>Theoretical models</w:t>
      </w:r>
      <w:r w:rsidRPr="009A29E4">
        <w:rPr>
          <w:b/>
        </w:rPr>
        <w:t xml:space="preserve">. </w:t>
      </w:r>
      <w:r w:rsidRPr="009A29E4">
        <w:t>Can be similar in motivation to dynamical models but contain no observed data (even in the form of model output to represent a real variable). These models are a theoretical exercise to test a particular idea. They are used to progress theory around certain processes.</w:t>
      </w:r>
    </w:p>
    <w:p w14:paraId="16F1CE32" w14:textId="77777777" w:rsidR="008354E8" w:rsidRPr="009A29E4" w:rsidRDefault="008354E8" w:rsidP="008354E8"/>
    <w:p w14:paraId="55801A39" w14:textId="77777777" w:rsidR="008354E8" w:rsidRPr="009A29E4" w:rsidRDefault="008354E8" w:rsidP="008354E8">
      <w:r w:rsidRPr="009A29E4">
        <w:t xml:space="preserve">Qualitative models were </w:t>
      </w:r>
      <w:r>
        <w:t xml:space="preserve">noted but </w:t>
      </w:r>
      <w:r w:rsidRPr="009A29E4">
        <w:t xml:space="preserve">excluded from this analysis as the framework is designed for quantitative models. Qualitative models were defined here as those models that are not quantitative (do not involve something that can be measured) but tried to give a conceptual understanding to a problem through specific experiences or </w:t>
      </w:r>
      <w:proofErr w:type="spellStart"/>
      <w:r w:rsidRPr="009A29E4">
        <w:t>behaviour</w:t>
      </w:r>
      <w:proofErr w:type="spellEnd"/>
      <w:r w:rsidRPr="009A29E4">
        <w:t>.</w:t>
      </w:r>
      <w:r>
        <w:t xml:space="preserve"> Qualitative models still try to draw inference about phenomena of interest and potentially assign causality, but they do so without a quantitative framework.</w:t>
      </w:r>
    </w:p>
    <w:p w14:paraId="2E7AD02E" w14:textId="77777777" w:rsidR="008354E8" w:rsidRPr="00492A76" w:rsidRDefault="008354E8" w:rsidP="008354E8">
      <w:pPr>
        <w:rPr>
          <w:b/>
          <w:sz w:val="20"/>
          <w:szCs w:val="20"/>
        </w:rPr>
      </w:pPr>
      <w:r w:rsidRPr="00492A76">
        <w:rPr>
          <w:b/>
          <w:sz w:val="20"/>
          <w:szCs w:val="20"/>
        </w:rPr>
        <w:t xml:space="preserve"> </w:t>
      </w:r>
    </w:p>
    <w:p w14:paraId="38913586" w14:textId="77777777" w:rsidR="008354E8" w:rsidRPr="009A29E4" w:rsidRDefault="008354E8" w:rsidP="008354E8">
      <w:pPr>
        <w:rPr>
          <w:b/>
          <w:i/>
          <w:iCs/>
          <w:sz w:val="24"/>
          <w:szCs w:val="24"/>
        </w:rPr>
      </w:pPr>
      <w:r w:rsidRPr="009A29E4">
        <w:rPr>
          <w:b/>
          <w:i/>
          <w:iCs/>
          <w:sz w:val="24"/>
          <w:szCs w:val="24"/>
        </w:rPr>
        <w:t>Development of Audit Strategy</w:t>
      </w:r>
    </w:p>
    <w:p w14:paraId="35BF3417" w14:textId="77777777" w:rsidR="008354E8" w:rsidRPr="00492A76" w:rsidRDefault="008354E8" w:rsidP="008354E8">
      <w:pPr>
        <w:rPr>
          <w:b/>
          <w:sz w:val="20"/>
          <w:szCs w:val="20"/>
        </w:rPr>
      </w:pPr>
      <w:r w:rsidRPr="00492A76">
        <w:rPr>
          <w:b/>
          <w:sz w:val="20"/>
          <w:szCs w:val="20"/>
        </w:rPr>
        <w:t xml:space="preserve"> </w:t>
      </w:r>
    </w:p>
    <w:p w14:paraId="033E2B1A" w14:textId="77777777" w:rsidR="008354E8" w:rsidRPr="00DE33B2" w:rsidRDefault="008354E8" w:rsidP="008354E8">
      <w:pPr>
        <w:rPr>
          <w:i/>
        </w:rPr>
      </w:pPr>
      <w:r w:rsidRPr="00DE33B2">
        <w:rPr>
          <w:i/>
        </w:rPr>
        <w:t>Initial assessment criteria:</w:t>
      </w:r>
    </w:p>
    <w:p w14:paraId="030848A2" w14:textId="77777777" w:rsidR="008354E8" w:rsidRPr="00DE33B2" w:rsidRDefault="008354E8" w:rsidP="008354E8">
      <w:pPr>
        <w:rPr>
          <w:i/>
        </w:rPr>
      </w:pPr>
      <w:r w:rsidRPr="00DE33B2">
        <w:rPr>
          <w:i/>
        </w:rPr>
        <w:t xml:space="preserve"> </w:t>
      </w:r>
    </w:p>
    <w:p w14:paraId="6FD72D91" w14:textId="77777777" w:rsidR="008354E8" w:rsidRPr="00DE33B2" w:rsidRDefault="008354E8" w:rsidP="008354E8">
      <w:r w:rsidRPr="00DE33B2">
        <w:t>The first iteration of the data collection table was used to conduct an audit on 10 papers from the Journal of Animal Ecology from the September 2019 issue. The trial was conducted by all eight members of the Ecology team and all reviewers audited the same papers. The results of the trial were compared using percentage agreement (calculated as the number of reviewers with the same answer over the total number of reviewers). The consistency of results at this stage was low (often &lt; 70% agreement). Agreement was particularly low for the section relating to an unobserved state.</w:t>
      </w:r>
    </w:p>
    <w:p w14:paraId="2CFC05CA" w14:textId="77777777" w:rsidR="008354E8" w:rsidRPr="00DE33B2" w:rsidRDefault="008354E8" w:rsidP="008354E8">
      <w:r w:rsidRPr="00DE33B2">
        <w:t xml:space="preserve"> </w:t>
      </w:r>
    </w:p>
    <w:p w14:paraId="5B76DACA" w14:textId="77777777" w:rsidR="008354E8" w:rsidRPr="00DE33B2" w:rsidRDefault="008354E8" w:rsidP="008354E8">
      <w:r w:rsidRPr="00DE33B2">
        <w:t xml:space="preserve">The preliminary data collection table was split into two sections, one focused on an explanatory model and the second on </w:t>
      </w:r>
      <w:proofErr w:type="gramStart"/>
      <w:r w:rsidRPr="00DE33B2">
        <w:t>predictions, if</w:t>
      </w:r>
      <w:proofErr w:type="gramEnd"/>
      <w:r w:rsidRPr="00DE33B2">
        <w:t xml:space="preserve"> they occurred. Within each section there were two mini-tables, the first covered a state, or unobserved, process and the second covered the observed process. For each process questions were asked about what form each source component took and whether the associated uncertainty was reported.</w:t>
      </w:r>
    </w:p>
    <w:p w14:paraId="79B4715D" w14:textId="77777777" w:rsidR="008354E8" w:rsidRPr="00492A76" w:rsidRDefault="008354E8" w:rsidP="008354E8">
      <w:pPr>
        <w:rPr>
          <w:sz w:val="20"/>
          <w:szCs w:val="20"/>
        </w:rPr>
      </w:pPr>
    </w:p>
    <w:p w14:paraId="1A6DF1E7" w14:textId="77777777" w:rsidR="008354E8" w:rsidRDefault="008354E8" w:rsidP="008354E8">
      <w:pPr>
        <w:keepNext/>
      </w:pPr>
      <w:r w:rsidRPr="00492A76">
        <w:rPr>
          <w:sz w:val="20"/>
          <w:szCs w:val="20"/>
        </w:rPr>
        <w:lastRenderedPageBreak/>
        <w:t xml:space="preserve"> </w:t>
      </w:r>
      <w:r w:rsidRPr="00492A76">
        <w:rPr>
          <w:noProof/>
          <w:sz w:val="20"/>
          <w:szCs w:val="20"/>
        </w:rPr>
        <w:drawing>
          <wp:inline distT="114300" distB="114300" distL="114300" distR="114300" wp14:anchorId="0E997B91" wp14:editId="3126247F">
            <wp:extent cx="5781675" cy="3143250"/>
            <wp:effectExtent l="0" t="0" r="0" b="0"/>
            <wp:docPr id="3" name="image2.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A picture containing graphical user interface&#10;&#10;Description automatically generated"/>
                    <pic:cNvPicPr preferRelativeResize="0"/>
                  </pic:nvPicPr>
                  <pic:blipFill>
                    <a:blip r:embed="rId24"/>
                    <a:srcRect/>
                    <a:stretch>
                      <a:fillRect/>
                    </a:stretch>
                  </pic:blipFill>
                  <pic:spPr>
                    <a:xfrm>
                      <a:off x="0" y="0"/>
                      <a:ext cx="5781675" cy="3143250"/>
                    </a:xfrm>
                    <a:prstGeom prst="rect">
                      <a:avLst/>
                    </a:prstGeom>
                    <a:ln/>
                  </pic:spPr>
                </pic:pic>
              </a:graphicData>
            </a:graphic>
          </wp:inline>
        </w:drawing>
      </w:r>
    </w:p>
    <w:p w14:paraId="06E5DACD" w14:textId="77777777" w:rsidR="008354E8" w:rsidRPr="00492A76" w:rsidRDefault="008354E8" w:rsidP="008354E8">
      <w:pPr>
        <w:pStyle w:val="Caption"/>
        <w:rPr>
          <w:sz w:val="20"/>
          <w:szCs w:val="20"/>
        </w:rPr>
      </w:pPr>
      <w:r>
        <w:rPr>
          <w:b/>
          <w:bCs/>
          <w:sz w:val="20"/>
          <w:szCs w:val="20"/>
          <w:lang w:val="en-GB"/>
        </w:rPr>
        <w:t>Figure</w:t>
      </w:r>
      <w:r w:rsidRPr="000828D9">
        <w:rPr>
          <w:b/>
          <w:bCs/>
          <w:sz w:val="20"/>
          <w:szCs w:val="20"/>
          <w:lang w:val="en-GB"/>
        </w:rPr>
        <w:t xml:space="preserve"> </w:t>
      </w:r>
      <w:r>
        <w:rPr>
          <w:b/>
          <w:bCs/>
          <w:sz w:val="20"/>
          <w:szCs w:val="20"/>
          <w:lang w:val="en-GB"/>
        </w:rPr>
        <w:t>4</w:t>
      </w:r>
      <w:r w:rsidRPr="000828D9">
        <w:rPr>
          <w:b/>
          <w:bCs/>
          <w:sz w:val="20"/>
          <w:szCs w:val="20"/>
          <w:lang w:val="en-GB"/>
        </w:rPr>
        <w:t xml:space="preserve">: </w:t>
      </w:r>
      <w:r>
        <w:rPr>
          <w:b/>
          <w:bCs/>
          <w:sz w:val="20"/>
          <w:szCs w:val="20"/>
          <w:lang w:val="en-GB"/>
        </w:rPr>
        <w:t>Picture of first iteration of the data capture table</w:t>
      </w:r>
    </w:p>
    <w:p w14:paraId="3B07A092" w14:textId="77777777" w:rsidR="008354E8" w:rsidRPr="00492A76" w:rsidRDefault="008354E8" w:rsidP="008354E8">
      <w:pPr>
        <w:rPr>
          <w:sz w:val="20"/>
          <w:szCs w:val="20"/>
        </w:rPr>
      </w:pPr>
    </w:p>
    <w:p w14:paraId="2EA7E06D" w14:textId="77777777" w:rsidR="008354E8" w:rsidRDefault="008354E8" w:rsidP="008354E8">
      <w:pPr>
        <w:pStyle w:val="Caption"/>
        <w:keepNext/>
      </w:pPr>
      <w:r>
        <w:rPr>
          <w:b/>
          <w:bCs/>
          <w:sz w:val="20"/>
          <w:szCs w:val="20"/>
          <w:lang w:val="en-GB"/>
        </w:rPr>
        <w:t>Table 4</w:t>
      </w:r>
      <w:r w:rsidRPr="000828D9">
        <w:rPr>
          <w:b/>
          <w:bCs/>
          <w:sz w:val="20"/>
          <w:szCs w:val="20"/>
          <w:lang w:val="en-GB"/>
        </w:rPr>
        <w:t xml:space="preserve">: </w:t>
      </w:r>
      <w:r>
        <w:rPr>
          <w:b/>
          <w:bCs/>
          <w:sz w:val="20"/>
          <w:szCs w:val="20"/>
          <w:lang w:val="en-GB"/>
        </w:rPr>
        <w:t>Summary of percentage agreement between reviewers in first trial of data capture table</w:t>
      </w:r>
    </w:p>
    <w:tbl>
      <w:tblPr>
        <w:tblW w:w="6945" w:type="dxa"/>
        <w:tblBorders>
          <w:top w:val="nil"/>
          <w:left w:val="nil"/>
          <w:bottom w:val="nil"/>
          <w:right w:val="nil"/>
          <w:insideH w:val="nil"/>
          <w:insideV w:val="nil"/>
        </w:tblBorders>
        <w:tblLayout w:type="fixed"/>
        <w:tblLook w:val="0600" w:firstRow="0" w:lastRow="0" w:firstColumn="0" w:lastColumn="0" w:noHBand="1" w:noVBand="1"/>
      </w:tblPr>
      <w:tblGrid>
        <w:gridCol w:w="3480"/>
        <w:gridCol w:w="3465"/>
      </w:tblGrid>
      <w:tr w:rsidR="008354E8" w:rsidRPr="00492A76" w14:paraId="49F67913" w14:textId="77777777" w:rsidTr="00C21C70">
        <w:trPr>
          <w:trHeight w:val="695"/>
        </w:trPr>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5971D6" w14:textId="77777777" w:rsidR="008354E8" w:rsidRPr="00492A76" w:rsidRDefault="008354E8" w:rsidP="00C21C70">
            <w:pPr>
              <w:rPr>
                <w:b/>
                <w:sz w:val="20"/>
                <w:szCs w:val="20"/>
              </w:rPr>
            </w:pPr>
            <w:r w:rsidRPr="00492A76">
              <w:rPr>
                <w:b/>
                <w:sz w:val="20"/>
                <w:szCs w:val="20"/>
              </w:rPr>
              <w:t>Component</w:t>
            </w:r>
          </w:p>
        </w:tc>
        <w:tc>
          <w:tcPr>
            <w:tcW w:w="3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712071" w14:textId="77777777" w:rsidR="008354E8" w:rsidRPr="00492A76" w:rsidRDefault="008354E8" w:rsidP="00C21C70">
            <w:pPr>
              <w:rPr>
                <w:b/>
                <w:sz w:val="20"/>
                <w:szCs w:val="20"/>
              </w:rPr>
            </w:pPr>
            <w:r w:rsidRPr="00492A76">
              <w:rPr>
                <w:b/>
                <w:sz w:val="20"/>
                <w:szCs w:val="20"/>
              </w:rPr>
              <w:t>Average percentage agreement</w:t>
            </w:r>
          </w:p>
        </w:tc>
      </w:tr>
      <w:tr w:rsidR="008354E8" w:rsidRPr="00492A76" w14:paraId="24857DBE" w14:textId="77777777" w:rsidTr="00C21C70">
        <w:trPr>
          <w:trHeight w:val="455"/>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8FA8A5" w14:textId="77777777" w:rsidR="008354E8" w:rsidRPr="00492A76" w:rsidRDefault="008354E8" w:rsidP="00C21C70">
            <w:pPr>
              <w:rPr>
                <w:sz w:val="20"/>
                <w:szCs w:val="20"/>
              </w:rPr>
            </w:pPr>
            <w:r w:rsidRPr="00492A76">
              <w:rPr>
                <w:sz w:val="20"/>
                <w:szCs w:val="20"/>
              </w:rPr>
              <w:t>Observed Response</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14:paraId="15457425" w14:textId="77777777" w:rsidR="008354E8" w:rsidRPr="00492A76" w:rsidRDefault="008354E8" w:rsidP="00C21C70">
            <w:pPr>
              <w:rPr>
                <w:sz w:val="20"/>
                <w:szCs w:val="20"/>
              </w:rPr>
            </w:pPr>
            <w:r w:rsidRPr="00492A76">
              <w:rPr>
                <w:sz w:val="20"/>
                <w:szCs w:val="20"/>
              </w:rPr>
              <w:t>48</w:t>
            </w:r>
          </w:p>
        </w:tc>
      </w:tr>
      <w:tr w:rsidR="008354E8" w:rsidRPr="00492A76" w14:paraId="6A78EAC7" w14:textId="77777777" w:rsidTr="00C21C70">
        <w:trPr>
          <w:trHeight w:val="455"/>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35B4BF" w14:textId="77777777" w:rsidR="008354E8" w:rsidRPr="00492A76" w:rsidRDefault="008354E8" w:rsidP="00C21C70">
            <w:pPr>
              <w:rPr>
                <w:sz w:val="20"/>
                <w:szCs w:val="20"/>
              </w:rPr>
            </w:pPr>
            <w:r w:rsidRPr="00492A76">
              <w:rPr>
                <w:sz w:val="20"/>
                <w:szCs w:val="20"/>
              </w:rPr>
              <w:t>Observed Explanatory variable</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14:paraId="1763CB3F" w14:textId="77777777" w:rsidR="008354E8" w:rsidRPr="00492A76" w:rsidRDefault="008354E8" w:rsidP="00C21C70">
            <w:pPr>
              <w:rPr>
                <w:sz w:val="20"/>
                <w:szCs w:val="20"/>
              </w:rPr>
            </w:pPr>
            <w:r w:rsidRPr="00492A76">
              <w:rPr>
                <w:sz w:val="20"/>
                <w:szCs w:val="20"/>
              </w:rPr>
              <w:t>73</w:t>
            </w:r>
          </w:p>
        </w:tc>
      </w:tr>
      <w:tr w:rsidR="008354E8" w:rsidRPr="00492A76" w14:paraId="6454587D" w14:textId="77777777" w:rsidTr="00C21C70">
        <w:trPr>
          <w:trHeight w:val="455"/>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D3CBA8" w14:textId="77777777" w:rsidR="008354E8" w:rsidRPr="00492A76" w:rsidRDefault="008354E8" w:rsidP="00C21C70">
            <w:pPr>
              <w:rPr>
                <w:sz w:val="20"/>
                <w:szCs w:val="20"/>
              </w:rPr>
            </w:pPr>
            <w:r w:rsidRPr="00492A76">
              <w:rPr>
                <w:sz w:val="20"/>
                <w:szCs w:val="20"/>
              </w:rPr>
              <w:t>Observed Parameter estimates</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14:paraId="4738AD12" w14:textId="77777777" w:rsidR="008354E8" w:rsidRPr="00492A76" w:rsidRDefault="008354E8" w:rsidP="00C21C70">
            <w:pPr>
              <w:rPr>
                <w:sz w:val="20"/>
                <w:szCs w:val="20"/>
              </w:rPr>
            </w:pPr>
            <w:r w:rsidRPr="00492A76">
              <w:rPr>
                <w:sz w:val="20"/>
                <w:szCs w:val="20"/>
              </w:rPr>
              <w:t>37</w:t>
            </w:r>
          </w:p>
        </w:tc>
      </w:tr>
      <w:tr w:rsidR="008354E8" w:rsidRPr="00492A76" w14:paraId="1EB41B9F" w14:textId="77777777" w:rsidTr="00C21C70">
        <w:trPr>
          <w:trHeight w:val="455"/>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D3A228" w14:textId="77777777" w:rsidR="008354E8" w:rsidRPr="00492A76" w:rsidRDefault="008354E8" w:rsidP="00C21C70">
            <w:pPr>
              <w:rPr>
                <w:sz w:val="20"/>
                <w:szCs w:val="20"/>
              </w:rPr>
            </w:pPr>
            <w:r w:rsidRPr="00492A76">
              <w:rPr>
                <w:sz w:val="20"/>
                <w:szCs w:val="20"/>
              </w:rPr>
              <w:t>Observed Model structure</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14:paraId="5C009DD7" w14:textId="77777777" w:rsidR="008354E8" w:rsidRPr="00492A76" w:rsidRDefault="008354E8" w:rsidP="00C21C70">
            <w:pPr>
              <w:rPr>
                <w:sz w:val="20"/>
                <w:szCs w:val="20"/>
              </w:rPr>
            </w:pPr>
            <w:r w:rsidRPr="00492A76">
              <w:rPr>
                <w:sz w:val="20"/>
                <w:szCs w:val="20"/>
              </w:rPr>
              <w:t>50</w:t>
            </w:r>
          </w:p>
        </w:tc>
      </w:tr>
    </w:tbl>
    <w:p w14:paraId="7E94666B" w14:textId="77777777" w:rsidR="008354E8" w:rsidRDefault="008354E8" w:rsidP="008354E8">
      <w:pPr>
        <w:rPr>
          <w:sz w:val="20"/>
          <w:szCs w:val="20"/>
        </w:rPr>
      </w:pPr>
    </w:p>
    <w:p w14:paraId="1E2A17E6" w14:textId="77777777" w:rsidR="008354E8" w:rsidRPr="00492A76" w:rsidRDefault="008354E8" w:rsidP="008354E8">
      <w:pPr>
        <w:rPr>
          <w:sz w:val="20"/>
          <w:szCs w:val="20"/>
        </w:rPr>
      </w:pPr>
    </w:p>
    <w:p w14:paraId="4FE3A44D" w14:textId="77777777" w:rsidR="008354E8" w:rsidRPr="00DE33B2" w:rsidRDefault="008354E8" w:rsidP="008354E8">
      <w:r w:rsidRPr="00DE33B2">
        <w:t>Following the trial audit, all eight reviewers attended a three-hour workshop to give feedback on the table and discuss the inconsistencies.</w:t>
      </w:r>
      <w:r w:rsidRPr="00DE33B2">
        <w:rPr>
          <w:rFonts w:ascii="Times New Roman" w:eastAsia="Times New Roman" w:hAnsi="Times New Roman" w:cs="Times New Roman"/>
        </w:rPr>
        <w:t xml:space="preserve"> </w:t>
      </w:r>
      <w:r w:rsidRPr="00DE33B2">
        <w:t>After the workshop, a new data collection table was drafted to streamline the data collection process and ensure results could be repeatable. During the initial trial audit, we found that the preliminary table had been too complex and with too high a focus on state vs observation processes. In streamlining the data collection table to focus more directly on each source of uncertainty and report more details on how uncertainty was presented, we ensured easier and more consistent data collection and a framework that was more easily applicable to other fields.</w:t>
      </w:r>
    </w:p>
    <w:p w14:paraId="6B22FE54" w14:textId="77777777" w:rsidR="008354E8" w:rsidRPr="00DE33B2" w:rsidRDefault="008354E8" w:rsidP="008354E8">
      <w:r w:rsidRPr="00DE33B2">
        <w:t xml:space="preserve"> </w:t>
      </w:r>
    </w:p>
    <w:p w14:paraId="3883CCFC" w14:textId="77777777" w:rsidR="008354E8" w:rsidRPr="00DE33B2" w:rsidRDefault="008354E8" w:rsidP="008354E8">
      <w:r w:rsidRPr="00DE33B2">
        <w:t xml:space="preserve">The revised data collection table is shown in Figure </w:t>
      </w:r>
      <w:r>
        <w:t>5</w:t>
      </w:r>
      <w:r w:rsidRPr="00DE33B2">
        <w:t xml:space="preserve">. We reduced the number of questions down to nine numbered questions with seven answer columns. The first four questions covered the four sources of model-based uncertainty identified in our framework. Questions five and six covered whether there was an explicit model for an unobserved process, or state. Questions seven and eight covered whether predictions were made and if the associated uncertainty was reported. Question 9 assessed whether any quantified </w:t>
      </w:r>
      <w:r w:rsidRPr="00DE33B2">
        <w:lastRenderedPageBreak/>
        <w:t xml:space="preserve">uncertainty was discussed in the discussion or conclusions. Each of the seven answer columns collected a different bit of information about the question, full details are shown in the </w:t>
      </w:r>
      <w:r>
        <w:t>i</w:t>
      </w:r>
      <w:r w:rsidRPr="00DE33B2">
        <w:t>nstructions document</w:t>
      </w:r>
      <w:r>
        <w:t xml:space="preserve"> below</w:t>
      </w:r>
      <w:r w:rsidRPr="00DE33B2">
        <w:t>.</w:t>
      </w:r>
    </w:p>
    <w:p w14:paraId="335BABC0" w14:textId="77777777" w:rsidR="008354E8" w:rsidRPr="00492A76" w:rsidRDefault="008354E8" w:rsidP="008354E8">
      <w:pPr>
        <w:rPr>
          <w:sz w:val="20"/>
          <w:szCs w:val="20"/>
        </w:rPr>
      </w:pPr>
      <w:r w:rsidRPr="00492A76">
        <w:rPr>
          <w:sz w:val="20"/>
          <w:szCs w:val="20"/>
        </w:rPr>
        <w:t xml:space="preserve"> </w:t>
      </w:r>
    </w:p>
    <w:p w14:paraId="5ED8B42C" w14:textId="77777777" w:rsidR="008354E8" w:rsidRPr="00DE33B2" w:rsidRDefault="008354E8" w:rsidP="008354E8">
      <w:pPr>
        <w:rPr>
          <w:i/>
        </w:rPr>
      </w:pPr>
      <w:r w:rsidRPr="00DE33B2">
        <w:rPr>
          <w:i/>
        </w:rPr>
        <w:t>Refined assessment criteria:</w:t>
      </w:r>
    </w:p>
    <w:p w14:paraId="3A84EA81" w14:textId="77777777" w:rsidR="008354E8" w:rsidRPr="00DE33B2" w:rsidRDefault="008354E8" w:rsidP="008354E8">
      <w:pPr>
        <w:rPr>
          <w:i/>
        </w:rPr>
      </w:pPr>
      <w:r w:rsidRPr="00DE33B2">
        <w:rPr>
          <w:i/>
        </w:rPr>
        <w:t xml:space="preserve"> </w:t>
      </w:r>
    </w:p>
    <w:p w14:paraId="18252DA2" w14:textId="77777777" w:rsidR="008354E8" w:rsidRPr="00DE33B2" w:rsidRDefault="008354E8" w:rsidP="008354E8">
      <w:r w:rsidRPr="00DE33B2">
        <w:t xml:space="preserve">A second trial, using the revised data collection table of questions (see Figure </w:t>
      </w:r>
      <w:r>
        <w:t>5</w:t>
      </w:r>
      <w:r w:rsidRPr="00DE33B2">
        <w:t>), was conducted on five papers from Ecology and Evolution from 2019 (this was a journal that was not included in the final audit to give an independent test of the method). This second trial was conducted by four of the original eight reviewers, due to time constraints of the other four.</w:t>
      </w:r>
    </w:p>
    <w:p w14:paraId="6554605D" w14:textId="77777777" w:rsidR="008354E8" w:rsidRDefault="008354E8" w:rsidP="008354E8">
      <w:pPr>
        <w:pStyle w:val="Caption"/>
        <w:keepNext/>
      </w:pPr>
    </w:p>
    <w:p w14:paraId="7101B8AF" w14:textId="77777777" w:rsidR="008354E8" w:rsidRDefault="008354E8" w:rsidP="008354E8">
      <w:pPr>
        <w:keepNext/>
      </w:pPr>
      <w:r w:rsidRPr="00492A76">
        <w:rPr>
          <w:noProof/>
          <w:sz w:val="20"/>
          <w:szCs w:val="20"/>
        </w:rPr>
        <w:drawing>
          <wp:inline distT="114300" distB="114300" distL="114300" distR="114300" wp14:anchorId="1F52E62B" wp14:editId="4A54C4C8">
            <wp:extent cx="5943600" cy="2476500"/>
            <wp:effectExtent l="0" t="0" r="0" b="0"/>
            <wp:docPr id="13" name="image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png" descr="Table&#10;&#10;Description automatically generated"/>
                    <pic:cNvPicPr preferRelativeResize="0"/>
                  </pic:nvPicPr>
                  <pic:blipFill>
                    <a:blip r:embed="rId25"/>
                    <a:srcRect/>
                    <a:stretch>
                      <a:fillRect/>
                    </a:stretch>
                  </pic:blipFill>
                  <pic:spPr>
                    <a:xfrm>
                      <a:off x="0" y="0"/>
                      <a:ext cx="5943600" cy="2476500"/>
                    </a:xfrm>
                    <a:prstGeom prst="rect">
                      <a:avLst/>
                    </a:prstGeom>
                    <a:ln/>
                  </pic:spPr>
                </pic:pic>
              </a:graphicData>
            </a:graphic>
          </wp:inline>
        </w:drawing>
      </w:r>
    </w:p>
    <w:p w14:paraId="6A16F6CD" w14:textId="77777777" w:rsidR="008354E8" w:rsidRDefault="008354E8" w:rsidP="008354E8">
      <w:pPr>
        <w:pStyle w:val="Caption"/>
      </w:pPr>
      <w:r>
        <w:rPr>
          <w:b/>
          <w:bCs/>
          <w:sz w:val="20"/>
          <w:szCs w:val="20"/>
          <w:lang w:val="en-GB"/>
        </w:rPr>
        <w:t>Figure</w:t>
      </w:r>
      <w:r w:rsidRPr="000828D9">
        <w:rPr>
          <w:b/>
          <w:bCs/>
          <w:sz w:val="20"/>
          <w:szCs w:val="20"/>
          <w:lang w:val="en-GB"/>
        </w:rPr>
        <w:t xml:space="preserve"> </w:t>
      </w:r>
      <w:r>
        <w:rPr>
          <w:b/>
          <w:bCs/>
          <w:sz w:val="20"/>
          <w:szCs w:val="20"/>
          <w:lang w:val="en-GB"/>
        </w:rPr>
        <w:t>5</w:t>
      </w:r>
      <w:r w:rsidRPr="000828D9">
        <w:rPr>
          <w:b/>
          <w:bCs/>
          <w:sz w:val="20"/>
          <w:szCs w:val="20"/>
          <w:lang w:val="en-GB"/>
        </w:rPr>
        <w:t xml:space="preserve">: </w:t>
      </w:r>
      <w:r>
        <w:rPr>
          <w:b/>
          <w:bCs/>
          <w:sz w:val="20"/>
          <w:szCs w:val="20"/>
          <w:lang w:val="en-GB"/>
        </w:rPr>
        <w:t>Picture of second iteration of data capture table</w:t>
      </w:r>
    </w:p>
    <w:p w14:paraId="0E06FF9A" w14:textId="77777777" w:rsidR="008354E8" w:rsidRPr="00492A76" w:rsidRDefault="008354E8" w:rsidP="008354E8">
      <w:pPr>
        <w:rPr>
          <w:sz w:val="20"/>
          <w:szCs w:val="20"/>
        </w:rPr>
      </w:pPr>
      <w:r w:rsidRPr="00492A76">
        <w:rPr>
          <w:sz w:val="20"/>
          <w:szCs w:val="20"/>
        </w:rPr>
        <w:t xml:space="preserve"> </w:t>
      </w:r>
    </w:p>
    <w:p w14:paraId="3D88645A" w14:textId="77777777" w:rsidR="008354E8" w:rsidRPr="00C21C70" w:rsidRDefault="008354E8" w:rsidP="008354E8">
      <w:pPr>
        <w:rPr>
          <w:sz w:val="20"/>
          <w:szCs w:val="20"/>
        </w:rPr>
      </w:pPr>
      <w:r w:rsidRPr="00C21C70">
        <w:rPr>
          <w:b/>
          <w:bCs/>
          <w:i/>
          <w:iCs/>
          <w:sz w:val="20"/>
          <w:szCs w:val="20"/>
          <w:lang w:val="en-GB"/>
        </w:rPr>
        <w:t>Table 5: Summary of percentage agreement between reviewers in second trial of data capture table</w:t>
      </w:r>
    </w:p>
    <w:tbl>
      <w:tblPr>
        <w:tblW w:w="6945" w:type="dxa"/>
        <w:tblBorders>
          <w:top w:val="nil"/>
          <w:left w:val="nil"/>
          <w:bottom w:val="nil"/>
          <w:right w:val="nil"/>
          <w:insideH w:val="nil"/>
          <w:insideV w:val="nil"/>
        </w:tblBorders>
        <w:tblLayout w:type="fixed"/>
        <w:tblLook w:val="0600" w:firstRow="0" w:lastRow="0" w:firstColumn="0" w:lastColumn="0" w:noHBand="1" w:noVBand="1"/>
      </w:tblPr>
      <w:tblGrid>
        <w:gridCol w:w="3480"/>
        <w:gridCol w:w="3465"/>
      </w:tblGrid>
      <w:tr w:rsidR="008354E8" w:rsidRPr="00492A76" w14:paraId="58DA4F49" w14:textId="77777777" w:rsidTr="00C21C70">
        <w:trPr>
          <w:trHeight w:val="695"/>
        </w:trPr>
        <w:tc>
          <w:tcPr>
            <w:tcW w:w="3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7EAD62" w14:textId="77777777" w:rsidR="008354E8" w:rsidRPr="00492A76" w:rsidRDefault="008354E8" w:rsidP="00C21C70">
            <w:pPr>
              <w:widowControl w:val="0"/>
              <w:pBdr>
                <w:top w:val="nil"/>
                <w:left w:val="nil"/>
                <w:bottom w:val="nil"/>
                <w:right w:val="nil"/>
                <w:between w:val="nil"/>
              </w:pBdr>
              <w:rPr>
                <w:b/>
                <w:sz w:val="20"/>
                <w:szCs w:val="20"/>
              </w:rPr>
            </w:pPr>
            <w:r w:rsidRPr="00492A76">
              <w:rPr>
                <w:b/>
                <w:sz w:val="20"/>
                <w:szCs w:val="20"/>
              </w:rPr>
              <w:t>Question number</w:t>
            </w:r>
          </w:p>
        </w:tc>
        <w:tc>
          <w:tcPr>
            <w:tcW w:w="34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CE5686" w14:textId="77777777" w:rsidR="008354E8" w:rsidRPr="00492A76" w:rsidRDefault="008354E8" w:rsidP="00C21C70">
            <w:pPr>
              <w:rPr>
                <w:b/>
                <w:sz w:val="20"/>
                <w:szCs w:val="20"/>
              </w:rPr>
            </w:pPr>
            <w:r w:rsidRPr="00492A76">
              <w:rPr>
                <w:b/>
                <w:sz w:val="20"/>
                <w:szCs w:val="20"/>
              </w:rPr>
              <w:t>Average percentage agreement</w:t>
            </w:r>
          </w:p>
        </w:tc>
      </w:tr>
      <w:tr w:rsidR="008354E8" w:rsidRPr="00492A76" w14:paraId="5B6ECA2C" w14:textId="77777777" w:rsidTr="00C21C70">
        <w:trPr>
          <w:trHeight w:val="455"/>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20800E" w14:textId="77777777" w:rsidR="008354E8" w:rsidRPr="00492A76" w:rsidRDefault="008354E8" w:rsidP="00C21C70">
            <w:pPr>
              <w:rPr>
                <w:sz w:val="20"/>
                <w:szCs w:val="20"/>
              </w:rPr>
            </w:pPr>
            <w:r w:rsidRPr="00492A76">
              <w:rPr>
                <w:sz w:val="20"/>
                <w:szCs w:val="20"/>
              </w:rPr>
              <w:t>1</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14:paraId="5BDD7F70" w14:textId="77777777" w:rsidR="008354E8" w:rsidRPr="00492A76" w:rsidRDefault="008354E8" w:rsidP="00C21C70">
            <w:pPr>
              <w:rPr>
                <w:sz w:val="20"/>
                <w:szCs w:val="20"/>
              </w:rPr>
            </w:pPr>
            <w:r w:rsidRPr="00492A76">
              <w:rPr>
                <w:sz w:val="20"/>
                <w:szCs w:val="20"/>
              </w:rPr>
              <w:t>80</w:t>
            </w:r>
          </w:p>
        </w:tc>
      </w:tr>
      <w:tr w:rsidR="008354E8" w:rsidRPr="00492A76" w14:paraId="1868FBD0" w14:textId="77777777" w:rsidTr="00C21C70">
        <w:trPr>
          <w:trHeight w:val="455"/>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4ED5B2" w14:textId="77777777" w:rsidR="008354E8" w:rsidRPr="00492A76" w:rsidRDefault="008354E8" w:rsidP="00C21C70">
            <w:pPr>
              <w:rPr>
                <w:sz w:val="20"/>
                <w:szCs w:val="20"/>
              </w:rPr>
            </w:pPr>
            <w:r w:rsidRPr="00492A76">
              <w:rPr>
                <w:sz w:val="20"/>
                <w:szCs w:val="20"/>
              </w:rPr>
              <w:t>2</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14:paraId="1F68F418" w14:textId="77777777" w:rsidR="008354E8" w:rsidRPr="00492A76" w:rsidRDefault="008354E8" w:rsidP="00C21C70">
            <w:pPr>
              <w:rPr>
                <w:sz w:val="20"/>
                <w:szCs w:val="20"/>
              </w:rPr>
            </w:pPr>
            <w:r w:rsidRPr="00492A76">
              <w:rPr>
                <w:sz w:val="20"/>
                <w:szCs w:val="20"/>
              </w:rPr>
              <w:t>100</w:t>
            </w:r>
          </w:p>
        </w:tc>
      </w:tr>
      <w:tr w:rsidR="008354E8" w:rsidRPr="00492A76" w14:paraId="1C4B8C02" w14:textId="77777777" w:rsidTr="00C21C70">
        <w:trPr>
          <w:trHeight w:val="455"/>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910BCB" w14:textId="77777777" w:rsidR="008354E8" w:rsidRPr="00492A76" w:rsidRDefault="008354E8" w:rsidP="00C21C70">
            <w:pPr>
              <w:rPr>
                <w:sz w:val="20"/>
                <w:szCs w:val="20"/>
              </w:rPr>
            </w:pPr>
            <w:r w:rsidRPr="00492A76">
              <w:rPr>
                <w:sz w:val="20"/>
                <w:szCs w:val="20"/>
              </w:rPr>
              <w:t>3</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14:paraId="6D7E2B2F" w14:textId="77777777" w:rsidR="008354E8" w:rsidRPr="00492A76" w:rsidRDefault="008354E8" w:rsidP="00C21C70">
            <w:pPr>
              <w:rPr>
                <w:sz w:val="20"/>
                <w:szCs w:val="20"/>
              </w:rPr>
            </w:pPr>
            <w:r w:rsidRPr="00492A76">
              <w:rPr>
                <w:sz w:val="20"/>
                <w:szCs w:val="20"/>
              </w:rPr>
              <w:t>75</w:t>
            </w:r>
          </w:p>
        </w:tc>
      </w:tr>
      <w:tr w:rsidR="008354E8" w:rsidRPr="00492A76" w14:paraId="670BDEF5" w14:textId="77777777" w:rsidTr="00C21C70">
        <w:trPr>
          <w:trHeight w:val="455"/>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46EBCA" w14:textId="77777777" w:rsidR="008354E8" w:rsidRPr="00492A76" w:rsidRDefault="008354E8" w:rsidP="00C21C70">
            <w:pPr>
              <w:rPr>
                <w:sz w:val="20"/>
                <w:szCs w:val="20"/>
              </w:rPr>
            </w:pPr>
            <w:r w:rsidRPr="00492A76">
              <w:rPr>
                <w:sz w:val="20"/>
                <w:szCs w:val="20"/>
              </w:rPr>
              <w:t>4</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14:paraId="50D06DA9" w14:textId="77777777" w:rsidR="008354E8" w:rsidRPr="00492A76" w:rsidRDefault="008354E8" w:rsidP="00C21C70">
            <w:pPr>
              <w:rPr>
                <w:sz w:val="20"/>
                <w:szCs w:val="20"/>
              </w:rPr>
            </w:pPr>
            <w:r w:rsidRPr="00492A76">
              <w:rPr>
                <w:sz w:val="20"/>
                <w:szCs w:val="20"/>
              </w:rPr>
              <w:t>80</w:t>
            </w:r>
          </w:p>
        </w:tc>
      </w:tr>
      <w:tr w:rsidR="008354E8" w:rsidRPr="00492A76" w14:paraId="001A5DB0" w14:textId="77777777" w:rsidTr="00C21C70">
        <w:trPr>
          <w:trHeight w:val="455"/>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7552CA" w14:textId="77777777" w:rsidR="008354E8" w:rsidRPr="00492A76" w:rsidRDefault="008354E8" w:rsidP="00C21C70">
            <w:pPr>
              <w:rPr>
                <w:sz w:val="20"/>
                <w:szCs w:val="20"/>
              </w:rPr>
            </w:pPr>
            <w:r w:rsidRPr="00492A76">
              <w:rPr>
                <w:sz w:val="20"/>
                <w:szCs w:val="20"/>
              </w:rPr>
              <w:t>5</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14:paraId="28F5FDE7" w14:textId="77777777" w:rsidR="008354E8" w:rsidRPr="00492A76" w:rsidRDefault="008354E8" w:rsidP="00C21C70">
            <w:pPr>
              <w:rPr>
                <w:sz w:val="20"/>
                <w:szCs w:val="20"/>
              </w:rPr>
            </w:pPr>
            <w:r w:rsidRPr="00492A76">
              <w:rPr>
                <w:sz w:val="20"/>
                <w:szCs w:val="20"/>
              </w:rPr>
              <w:t>92</w:t>
            </w:r>
          </w:p>
        </w:tc>
      </w:tr>
      <w:tr w:rsidR="008354E8" w:rsidRPr="00492A76" w14:paraId="42F5E572" w14:textId="77777777" w:rsidTr="00C21C70">
        <w:trPr>
          <w:trHeight w:val="455"/>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88E974" w14:textId="77777777" w:rsidR="008354E8" w:rsidRPr="00492A76" w:rsidRDefault="008354E8" w:rsidP="00C21C70">
            <w:pPr>
              <w:rPr>
                <w:sz w:val="20"/>
                <w:szCs w:val="20"/>
              </w:rPr>
            </w:pPr>
            <w:r w:rsidRPr="00492A76">
              <w:rPr>
                <w:sz w:val="20"/>
                <w:szCs w:val="20"/>
              </w:rPr>
              <w:t>6</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14:paraId="3570C9AE" w14:textId="77777777" w:rsidR="008354E8" w:rsidRPr="00492A76" w:rsidRDefault="008354E8" w:rsidP="00C21C70">
            <w:pPr>
              <w:rPr>
                <w:sz w:val="20"/>
                <w:szCs w:val="20"/>
              </w:rPr>
            </w:pPr>
            <w:r w:rsidRPr="00492A76">
              <w:rPr>
                <w:sz w:val="20"/>
                <w:szCs w:val="20"/>
              </w:rPr>
              <w:t>75</w:t>
            </w:r>
          </w:p>
        </w:tc>
      </w:tr>
      <w:tr w:rsidR="008354E8" w:rsidRPr="00492A76" w14:paraId="3776025D" w14:textId="77777777" w:rsidTr="00C21C70">
        <w:trPr>
          <w:trHeight w:val="455"/>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700C2B" w14:textId="77777777" w:rsidR="008354E8" w:rsidRPr="00492A76" w:rsidRDefault="008354E8" w:rsidP="00C21C70">
            <w:pPr>
              <w:rPr>
                <w:sz w:val="20"/>
                <w:szCs w:val="20"/>
              </w:rPr>
            </w:pPr>
            <w:r w:rsidRPr="00492A76">
              <w:rPr>
                <w:sz w:val="20"/>
                <w:szCs w:val="20"/>
              </w:rPr>
              <w:t>7</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14:paraId="5B8FD1F1" w14:textId="77777777" w:rsidR="008354E8" w:rsidRPr="00492A76" w:rsidRDefault="008354E8" w:rsidP="00C21C70">
            <w:pPr>
              <w:rPr>
                <w:sz w:val="20"/>
                <w:szCs w:val="20"/>
              </w:rPr>
            </w:pPr>
            <w:r w:rsidRPr="00492A76">
              <w:rPr>
                <w:sz w:val="20"/>
                <w:szCs w:val="20"/>
              </w:rPr>
              <w:t>100</w:t>
            </w:r>
          </w:p>
        </w:tc>
      </w:tr>
      <w:tr w:rsidR="008354E8" w:rsidRPr="00492A76" w14:paraId="1B9222AA" w14:textId="77777777" w:rsidTr="00C21C70">
        <w:trPr>
          <w:trHeight w:val="455"/>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456E45" w14:textId="77777777" w:rsidR="008354E8" w:rsidRPr="00492A76" w:rsidRDefault="008354E8" w:rsidP="00C21C70">
            <w:pPr>
              <w:rPr>
                <w:sz w:val="20"/>
                <w:szCs w:val="20"/>
              </w:rPr>
            </w:pPr>
            <w:r w:rsidRPr="00492A76">
              <w:rPr>
                <w:sz w:val="20"/>
                <w:szCs w:val="20"/>
              </w:rPr>
              <w:lastRenderedPageBreak/>
              <w:t>8</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14:paraId="13A427A8" w14:textId="77777777" w:rsidR="008354E8" w:rsidRPr="00492A76" w:rsidRDefault="008354E8" w:rsidP="00C21C70">
            <w:pPr>
              <w:rPr>
                <w:sz w:val="20"/>
                <w:szCs w:val="20"/>
              </w:rPr>
            </w:pPr>
            <w:r w:rsidRPr="00492A76">
              <w:rPr>
                <w:sz w:val="20"/>
                <w:szCs w:val="20"/>
              </w:rPr>
              <w:t>100</w:t>
            </w:r>
          </w:p>
        </w:tc>
      </w:tr>
      <w:tr w:rsidR="008354E8" w:rsidRPr="00492A76" w14:paraId="0847D3CC" w14:textId="77777777" w:rsidTr="00C21C70">
        <w:trPr>
          <w:trHeight w:val="455"/>
        </w:trPr>
        <w:tc>
          <w:tcPr>
            <w:tcW w:w="34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4883F0" w14:textId="77777777" w:rsidR="008354E8" w:rsidRPr="00492A76" w:rsidRDefault="008354E8" w:rsidP="00C21C70">
            <w:pPr>
              <w:rPr>
                <w:sz w:val="20"/>
                <w:szCs w:val="20"/>
              </w:rPr>
            </w:pPr>
            <w:r w:rsidRPr="00492A76">
              <w:rPr>
                <w:sz w:val="20"/>
                <w:szCs w:val="20"/>
              </w:rPr>
              <w:t>9</w:t>
            </w:r>
          </w:p>
        </w:tc>
        <w:tc>
          <w:tcPr>
            <w:tcW w:w="3465" w:type="dxa"/>
            <w:tcBorders>
              <w:top w:val="nil"/>
              <w:left w:val="nil"/>
              <w:bottom w:val="single" w:sz="8" w:space="0" w:color="000000"/>
              <w:right w:val="single" w:sz="8" w:space="0" w:color="000000"/>
            </w:tcBorders>
            <w:tcMar>
              <w:top w:w="100" w:type="dxa"/>
              <w:left w:w="100" w:type="dxa"/>
              <w:bottom w:w="100" w:type="dxa"/>
              <w:right w:w="100" w:type="dxa"/>
            </w:tcMar>
          </w:tcPr>
          <w:p w14:paraId="08FA602A" w14:textId="77777777" w:rsidR="008354E8" w:rsidRPr="00492A76" w:rsidRDefault="008354E8" w:rsidP="00C21C70">
            <w:pPr>
              <w:rPr>
                <w:sz w:val="20"/>
                <w:szCs w:val="20"/>
              </w:rPr>
            </w:pPr>
            <w:r w:rsidRPr="00492A76">
              <w:rPr>
                <w:sz w:val="20"/>
                <w:szCs w:val="20"/>
              </w:rPr>
              <w:t>92</w:t>
            </w:r>
          </w:p>
        </w:tc>
      </w:tr>
    </w:tbl>
    <w:p w14:paraId="4694F6DA" w14:textId="77777777" w:rsidR="008354E8" w:rsidRPr="00492A76" w:rsidRDefault="008354E8" w:rsidP="008354E8">
      <w:pPr>
        <w:rPr>
          <w:sz w:val="20"/>
          <w:szCs w:val="20"/>
        </w:rPr>
      </w:pPr>
    </w:p>
    <w:p w14:paraId="5BCED672" w14:textId="77777777" w:rsidR="008354E8" w:rsidRPr="00C41728" w:rsidRDefault="008354E8" w:rsidP="008354E8">
      <w:r w:rsidRPr="00C41728">
        <w:t xml:space="preserve">Agreement from the second trial was much higher (from 49% across all questions in trial 1 to 88% across all questions in trial 2) but not perfect, although absolute perfection is unlikely to be possible. The main continued areas of inconsistency arose from choosing No rather than NA for some sections. In response, a checks section was added to the spreadsheet for data entry for the final set of criteria. In addition, the detailed instructions document was refined and expanded and can be found </w:t>
      </w:r>
      <w:r>
        <w:t>below.</w:t>
      </w:r>
      <w:r w:rsidRPr="00C41728">
        <w:t xml:space="preserve">   </w:t>
      </w:r>
    </w:p>
    <w:p w14:paraId="2905B7AB" w14:textId="77777777" w:rsidR="008354E8" w:rsidRPr="00A5205A" w:rsidRDefault="008354E8" w:rsidP="008354E8">
      <w:pPr>
        <w:rPr>
          <w:b/>
          <w:i/>
          <w:iCs/>
          <w:sz w:val="24"/>
          <w:szCs w:val="24"/>
        </w:rPr>
      </w:pPr>
      <w:r w:rsidRPr="00492A76">
        <w:rPr>
          <w:b/>
          <w:sz w:val="20"/>
          <w:szCs w:val="20"/>
        </w:rPr>
        <w:t xml:space="preserve"> </w:t>
      </w:r>
    </w:p>
    <w:p w14:paraId="5B63F64F" w14:textId="77777777" w:rsidR="008354E8" w:rsidRPr="00A5205A" w:rsidRDefault="008354E8" w:rsidP="008354E8">
      <w:pPr>
        <w:rPr>
          <w:b/>
          <w:i/>
          <w:iCs/>
          <w:sz w:val="24"/>
          <w:szCs w:val="24"/>
        </w:rPr>
      </w:pPr>
      <w:r w:rsidRPr="00A5205A">
        <w:rPr>
          <w:b/>
          <w:i/>
          <w:iCs/>
          <w:sz w:val="24"/>
          <w:szCs w:val="24"/>
        </w:rPr>
        <w:t>The Systematic Audit</w:t>
      </w:r>
    </w:p>
    <w:p w14:paraId="24ED10B7" w14:textId="77777777" w:rsidR="008354E8" w:rsidRPr="00492A76" w:rsidRDefault="008354E8" w:rsidP="008354E8">
      <w:pPr>
        <w:rPr>
          <w:b/>
          <w:sz w:val="20"/>
          <w:szCs w:val="20"/>
        </w:rPr>
      </w:pPr>
      <w:r w:rsidRPr="00492A76">
        <w:rPr>
          <w:b/>
          <w:sz w:val="20"/>
          <w:szCs w:val="20"/>
        </w:rPr>
        <w:t xml:space="preserve"> </w:t>
      </w:r>
    </w:p>
    <w:p w14:paraId="35A6F20E" w14:textId="77777777" w:rsidR="008354E8" w:rsidRPr="00A5205A" w:rsidRDefault="008354E8" w:rsidP="008354E8">
      <w:pPr>
        <w:rPr>
          <w:i/>
        </w:rPr>
      </w:pPr>
      <w:r w:rsidRPr="00A5205A">
        <w:rPr>
          <w:i/>
        </w:rPr>
        <w:t>Field selection:</w:t>
      </w:r>
    </w:p>
    <w:p w14:paraId="60A0D80E" w14:textId="77777777" w:rsidR="008354E8" w:rsidRPr="00A5205A" w:rsidRDefault="008354E8" w:rsidP="008354E8">
      <w:pPr>
        <w:rPr>
          <w:i/>
        </w:rPr>
      </w:pPr>
    </w:p>
    <w:p w14:paraId="158D6A2E" w14:textId="77777777" w:rsidR="008354E8" w:rsidRPr="00C21C70" w:rsidRDefault="008354E8" w:rsidP="008354E8">
      <w:pPr>
        <w:rPr>
          <w:iCs/>
        </w:rPr>
      </w:pPr>
      <w:r w:rsidRPr="00A5205A">
        <w:rPr>
          <w:iCs/>
        </w:rPr>
        <w:t xml:space="preserve">The final fields included in these analyses were two biological sciences (ecology and evolution), two physical sciences (climate science and oceanography), two health/medical sciences (health science and neuroscience) and one social science (political science). These fields were chosen to represent a range of scientific disciplines that span broad subject areas (biological, physical, health, and one social science) but all have applied outcomes. Final field choice was determined by the collaborative network available to the lead author and those authors that had time to complete the systematic audit. A cross-disciplinary field of geography was intended to be included but time constraints of the collaborators meant this was not possible. </w:t>
      </w:r>
    </w:p>
    <w:p w14:paraId="6D2F190F" w14:textId="77777777" w:rsidR="008354E8" w:rsidRPr="00A5205A" w:rsidRDefault="008354E8" w:rsidP="008354E8">
      <w:pPr>
        <w:rPr>
          <w:i/>
        </w:rPr>
      </w:pPr>
    </w:p>
    <w:p w14:paraId="42E1570D" w14:textId="77777777" w:rsidR="008354E8" w:rsidRPr="00A5205A" w:rsidRDefault="008354E8" w:rsidP="008354E8">
      <w:pPr>
        <w:rPr>
          <w:i/>
        </w:rPr>
      </w:pPr>
    </w:p>
    <w:p w14:paraId="59D55846" w14:textId="77777777" w:rsidR="008354E8" w:rsidRPr="00A5205A" w:rsidRDefault="008354E8" w:rsidP="008354E8">
      <w:pPr>
        <w:rPr>
          <w:i/>
        </w:rPr>
      </w:pPr>
      <w:r w:rsidRPr="00A5205A">
        <w:rPr>
          <w:i/>
        </w:rPr>
        <w:t>Search Strategy:</w:t>
      </w:r>
    </w:p>
    <w:p w14:paraId="68A86B5D" w14:textId="77777777" w:rsidR="008354E8" w:rsidRPr="00A5205A" w:rsidRDefault="008354E8" w:rsidP="008354E8">
      <w:pPr>
        <w:rPr>
          <w:i/>
        </w:rPr>
      </w:pPr>
      <w:r w:rsidRPr="00A5205A">
        <w:rPr>
          <w:i/>
        </w:rPr>
        <w:t xml:space="preserve"> </w:t>
      </w:r>
    </w:p>
    <w:p w14:paraId="202BCB3E" w14:textId="77777777" w:rsidR="008354E8" w:rsidRPr="00A5205A" w:rsidRDefault="008354E8" w:rsidP="008354E8">
      <w:r w:rsidRPr="00A5205A">
        <w:t xml:space="preserve">Unlike typical Systematic Reviews, we did not use search strings to target research articles relevant to our research question. Instead, we took </w:t>
      </w:r>
      <w:r w:rsidRPr="00A5205A">
        <w:rPr>
          <w:b/>
        </w:rPr>
        <w:t>all</w:t>
      </w:r>
      <w:r w:rsidRPr="00A5205A">
        <w:t xml:space="preserve"> research articles from the last few issues from 2019 (the exact number depended on the number of research papers per issue and how often issues were released – the aim was for 30-50 papers per journal), of a population of academic journals across a broad-range of scientific disciplines. Our list of target scientific journals was built by consultation during workshops with the full audit team and had to meet the following criteria to be included:</w:t>
      </w:r>
    </w:p>
    <w:p w14:paraId="4B20D80C" w14:textId="77777777" w:rsidR="008354E8" w:rsidRPr="00A5205A" w:rsidRDefault="008354E8" w:rsidP="008354E8">
      <w:r w:rsidRPr="00A5205A">
        <w:t xml:space="preserve"> </w:t>
      </w:r>
    </w:p>
    <w:p w14:paraId="460D2BFC" w14:textId="77777777" w:rsidR="008354E8" w:rsidRPr="00A5205A" w:rsidRDefault="008354E8" w:rsidP="008354E8">
      <w:pPr>
        <w:ind w:left="1080" w:hanging="360"/>
      </w:pPr>
      <w:r w:rsidRPr="00A5205A">
        <w:rPr>
          <w:rFonts w:ascii="Calibri" w:eastAsia="Calibri" w:hAnsi="Calibri" w:cs="Calibri"/>
        </w:rPr>
        <w:t>·</w:t>
      </w:r>
      <w:r w:rsidRPr="00A5205A">
        <w:rPr>
          <w:rFonts w:ascii="Times New Roman" w:eastAsia="Times New Roman" w:hAnsi="Times New Roman" w:cs="Times New Roman"/>
        </w:rPr>
        <w:t xml:space="preserve">     </w:t>
      </w:r>
      <w:r w:rsidRPr="00A5205A">
        <w:rPr>
          <w:rFonts w:ascii="Times New Roman" w:eastAsia="Times New Roman" w:hAnsi="Times New Roman" w:cs="Times New Roman"/>
        </w:rPr>
        <w:tab/>
      </w:r>
      <w:r w:rsidRPr="00A5205A">
        <w:t>English language</w:t>
      </w:r>
    </w:p>
    <w:p w14:paraId="025D4468" w14:textId="77777777" w:rsidR="008354E8" w:rsidRPr="00A5205A" w:rsidRDefault="008354E8" w:rsidP="008354E8">
      <w:pPr>
        <w:ind w:left="1080" w:hanging="360"/>
      </w:pPr>
      <w:r w:rsidRPr="00A5205A">
        <w:rPr>
          <w:rFonts w:ascii="Calibri" w:eastAsia="Calibri" w:hAnsi="Calibri" w:cs="Calibri"/>
        </w:rPr>
        <w:t>·</w:t>
      </w:r>
      <w:r w:rsidRPr="00A5205A">
        <w:rPr>
          <w:rFonts w:ascii="Times New Roman" w:eastAsia="Times New Roman" w:hAnsi="Times New Roman" w:cs="Times New Roman"/>
        </w:rPr>
        <w:t xml:space="preserve">     </w:t>
      </w:r>
      <w:r w:rsidRPr="00A5205A">
        <w:rPr>
          <w:rFonts w:ascii="Times New Roman" w:eastAsia="Times New Roman" w:hAnsi="Times New Roman" w:cs="Times New Roman"/>
        </w:rPr>
        <w:tab/>
      </w:r>
      <w:r w:rsidRPr="00A5205A">
        <w:t>Some original research papers per issue</w:t>
      </w:r>
    </w:p>
    <w:p w14:paraId="4F1605CC" w14:textId="77777777" w:rsidR="008354E8" w:rsidRPr="00A5205A" w:rsidRDefault="008354E8" w:rsidP="008354E8">
      <w:pPr>
        <w:ind w:left="1080" w:hanging="360"/>
      </w:pPr>
      <w:r w:rsidRPr="00A5205A">
        <w:rPr>
          <w:rFonts w:ascii="Calibri" w:eastAsia="Calibri" w:hAnsi="Calibri" w:cs="Calibri"/>
        </w:rPr>
        <w:t>·</w:t>
      </w:r>
      <w:r w:rsidRPr="00A5205A">
        <w:rPr>
          <w:rFonts w:ascii="Times New Roman" w:eastAsia="Times New Roman" w:hAnsi="Times New Roman" w:cs="Times New Roman"/>
        </w:rPr>
        <w:t xml:space="preserve">     </w:t>
      </w:r>
      <w:r w:rsidRPr="00A5205A">
        <w:rPr>
          <w:rFonts w:ascii="Times New Roman" w:eastAsia="Times New Roman" w:hAnsi="Times New Roman" w:cs="Times New Roman"/>
        </w:rPr>
        <w:tab/>
      </w:r>
      <w:r w:rsidRPr="00A5205A">
        <w:t>International audience</w:t>
      </w:r>
    </w:p>
    <w:p w14:paraId="1AE94FE9" w14:textId="77777777" w:rsidR="008354E8" w:rsidRPr="00A5205A" w:rsidRDefault="008354E8" w:rsidP="008354E8">
      <w:pPr>
        <w:ind w:left="1080" w:hanging="360"/>
      </w:pPr>
      <w:r w:rsidRPr="00A5205A">
        <w:rPr>
          <w:rFonts w:ascii="Calibri" w:eastAsia="Calibri" w:hAnsi="Calibri" w:cs="Calibri"/>
        </w:rPr>
        <w:t>·</w:t>
      </w:r>
      <w:r w:rsidRPr="00A5205A">
        <w:rPr>
          <w:rFonts w:ascii="Times New Roman" w:eastAsia="Times New Roman" w:hAnsi="Times New Roman" w:cs="Times New Roman"/>
        </w:rPr>
        <w:t xml:space="preserve">     </w:t>
      </w:r>
      <w:r w:rsidRPr="00A5205A">
        <w:rPr>
          <w:rFonts w:ascii="Times New Roman" w:eastAsia="Times New Roman" w:hAnsi="Times New Roman" w:cs="Times New Roman"/>
        </w:rPr>
        <w:tab/>
      </w:r>
      <w:r w:rsidRPr="00A5205A">
        <w:t>Field leading</w:t>
      </w:r>
    </w:p>
    <w:p w14:paraId="03AB5E3D" w14:textId="77777777" w:rsidR="008354E8" w:rsidRPr="00A5205A" w:rsidRDefault="008354E8" w:rsidP="008354E8">
      <w:pPr>
        <w:ind w:left="1080" w:hanging="360"/>
      </w:pPr>
      <w:r w:rsidRPr="00A5205A">
        <w:rPr>
          <w:rFonts w:ascii="Calibri" w:eastAsia="Calibri" w:hAnsi="Calibri" w:cs="Calibri"/>
        </w:rPr>
        <w:t>·</w:t>
      </w:r>
      <w:r w:rsidRPr="00A5205A">
        <w:rPr>
          <w:rFonts w:ascii="Times New Roman" w:eastAsia="Times New Roman" w:hAnsi="Times New Roman" w:cs="Times New Roman"/>
        </w:rPr>
        <w:t xml:space="preserve">     </w:t>
      </w:r>
      <w:r w:rsidRPr="00A5205A">
        <w:rPr>
          <w:rFonts w:ascii="Times New Roman" w:eastAsia="Times New Roman" w:hAnsi="Times New Roman" w:cs="Times New Roman"/>
        </w:rPr>
        <w:tab/>
      </w:r>
      <w:r w:rsidRPr="00A5205A">
        <w:t>Frequently publish papers that use statistical models</w:t>
      </w:r>
    </w:p>
    <w:p w14:paraId="604AED4D" w14:textId="77777777" w:rsidR="008354E8" w:rsidRPr="00A5205A" w:rsidRDefault="008354E8" w:rsidP="008354E8">
      <w:r w:rsidRPr="00A5205A">
        <w:t xml:space="preserve"> </w:t>
      </w:r>
    </w:p>
    <w:p w14:paraId="357E8415" w14:textId="77777777" w:rsidR="008354E8" w:rsidRPr="00A5205A" w:rsidRDefault="008354E8" w:rsidP="008354E8">
      <w:r w:rsidRPr="00A5205A">
        <w:t>While all original research papers from each issue of these journals were to be assessed, only those that included a statistical or mathematical analysis involving a model (it did not need to include observed data) were included in the audit.</w:t>
      </w:r>
    </w:p>
    <w:p w14:paraId="519DDCB0" w14:textId="77777777" w:rsidR="008354E8" w:rsidRPr="00A5205A" w:rsidRDefault="008354E8" w:rsidP="008354E8">
      <w:r w:rsidRPr="00A5205A">
        <w:t xml:space="preserve"> </w:t>
      </w:r>
    </w:p>
    <w:p w14:paraId="30283B95" w14:textId="77777777" w:rsidR="008354E8" w:rsidRPr="00A5205A" w:rsidRDefault="008354E8" w:rsidP="008354E8">
      <w:r w:rsidRPr="00A5205A">
        <w:t>Article types excluded from these analyses were determined by the following exclusion criteria:</w:t>
      </w:r>
    </w:p>
    <w:p w14:paraId="12828F56" w14:textId="77777777" w:rsidR="008354E8" w:rsidRPr="00A5205A" w:rsidRDefault="008354E8" w:rsidP="008354E8">
      <w:r w:rsidRPr="00A5205A">
        <w:t xml:space="preserve"> </w:t>
      </w:r>
    </w:p>
    <w:p w14:paraId="35C17F4E" w14:textId="77777777" w:rsidR="008354E8" w:rsidRPr="00A5205A" w:rsidRDefault="008354E8" w:rsidP="008354E8">
      <w:pPr>
        <w:pStyle w:val="ListParagraph"/>
        <w:numPr>
          <w:ilvl w:val="0"/>
          <w:numId w:val="13"/>
        </w:numPr>
        <w:suppressAutoHyphens w:val="0"/>
      </w:pPr>
      <w:r w:rsidRPr="00A5205A">
        <w:t>book reviews</w:t>
      </w:r>
    </w:p>
    <w:p w14:paraId="5B3D9B7E" w14:textId="77777777" w:rsidR="008354E8" w:rsidRPr="00A5205A" w:rsidRDefault="008354E8" w:rsidP="008354E8">
      <w:pPr>
        <w:pStyle w:val="ListParagraph"/>
        <w:numPr>
          <w:ilvl w:val="0"/>
          <w:numId w:val="13"/>
        </w:numPr>
        <w:suppressAutoHyphens w:val="0"/>
      </w:pPr>
      <w:r w:rsidRPr="00A5205A">
        <w:lastRenderedPageBreak/>
        <w:t>editorials</w:t>
      </w:r>
    </w:p>
    <w:p w14:paraId="6583078A" w14:textId="77777777" w:rsidR="008354E8" w:rsidRPr="00A5205A" w:rsidRDefault="008354E8" w:rsidP="008354E8">
      <w:pPr>
        <w:pStyle w:val="ListParagraph"/>
        <w:numPr>
          <w:ilvl w:val="0"/>
          <w:numId w:val="13"/>
        </w:numPr>
        <w:suppressAutoHyphens w:val="0"/>
      </w:pPr>
      <w:r w:rsidRPr="00A5205A">
        <w:t>in-focus pieces</w:t>
      </w:r>
    </w:p>
    <w:p w14:paraId="6EC52002" w14:textId="77777777" w:rsidR="008354E8" w:rsidRPr="00A5205A" w:rsidRDefault="008354E8" w:rsidP="008354E8">
      <w:pPr>
        <w:pStyle w:val="ListParagraph"/>
        <w:numPr>
          <w:ilvl w:val="0"/>
          <w:numId w:val="13"/>
        </w:numPr>
        <w:suppressAutoHyphens w:val="0"/>
      </w:pPr>
      <w:r w:rsidRPr="00A5205A">
        <w:t>narrative reviews with no analyses</w:t>
      </w:r>
    </w:p>
    <w:p w14:paraId="1B69D5A1" w14:textId="77777777" w:rsidR="008354E8" w:rsidRPr="00A5205A" w:rsidRDefault="008354E8" w:rsidP="008354E8">
      <w:pPr>
        <w:pStyle w:val="ListParagraph"/>
        <w:numPr>
          <w:ilvl w:val="0"/>
          <w:numId w:val="13"/>
        </w:numPr>
        <w:suppressAutoHyphens w:val="0"/>
      </w:pPr>
      <w:r w:rsidRPr="00A5205A">
        <w:t>no statistical, dynamical, or mathematical model</w:t>
      </w:r>
    </w:p>
    <w:p w14:paraId="4635405A" w14:textId="77777777" w:rsidR="008354E8" w:rsidRDefault="008354E8" w:rsidP="008354E8">
      <w:pPr>
        <w:pStyle w:val="ListParagraph"/>
        <w:numPr>
          <w:ilvl w:val="0"/>
          <w:numId w:val="13"/>
        </w:numPr>
        <w:suppressAutoHyphens w:val="0"/>
      </w:pPr>
      <w:r w:rsidRPr="00A5205A">
        <w:t>purely descriptive work</w:t>
      </w:r>
    </w:p>
    <w:p w14:paraId="03F2A5C0" w14:textId="77777777" w:rsidR="008354E8" w:rsidRPr="00A5205A" w:rsidRDefault="008354E8" w:rsidP="008354E8">
      <w:pPr>
        <w:pStyle w:val="ListParagraph"/>
        <w:numPr>
          <w:ilvl w:val="0"/>
          <w:numId w:val="13"/>
        </w:numPr>
        <w:suppressAutoHyphens w:val="0"/>
      </w:pPr>
      <w:r>
        <w:t>qualitative models</w:t>
      </w:r>
    </w:p>
    <w:p w14:paraId="0ECD5D31" w14:textId="77777777" w:rsidR="008354E8" w:rsidRPr="00A5205A" w:rsidRDefault="008354E8" w:rsidP="008354E8">
      <w:pPr>
        <w:pStyle w:val="ListParagraph"/>
        <w:numPr>
          <w:ilvl w:val="0"/>
          <w:numId w:val="13"/>
        </w:numPr>
        <w:suppressAutoHyphens w:val="0"/>
      </w:pPr>
      <w:r w:rsidRPr="00A5205A">
        <w:t>meta-analyses and systematic reviews</w:t>
      </w:r>
    </w:p>
    <w:p w14:paraId="777CDB3E" w14:textId="77777777" w:rsidR="008354E8" w:rsidRPr="00A5205A" w:rsidRDefault="008354E8" w:rsidP="008354E8">
      <w:pPr>
        <w:pStyle w:val="ListParagraph"/>
        <w:numPr>
          <w:ilvl w:val="0"/>
          <w:numId w:val="13"/>
        </w:numPr>
        <w:suppressAutoHyphens w:val="0"/>
      </w:pPr>
      <w:r w:rsidRPr="00A5205A">
        <w:t>models on animals (Health sciences only)</w:t>
      </w:r>
    </w:p>
    <w:p w14:paraId="0BF3CD71" w14:textId="77777777" w:rsidR="008354E8" w:rsidRPr="00A5205A" w:rsidRDefault="008354E8" w:rsidP="008354E8">
      <w:pPr>
        <w:ind w:left="1080" w:hanging="360"/>
      </w:pPr>
    </w:p>
    <w:p w14:paraId="231D1B87" w14:textId="046D1B17" w:rsidR="008354E8" w:rsidRPr="00A5205A" w:rsidRDefault="008354E8" w:rsidP="008354E8">
      <w:r>
        <w:t xml:space="preserve">Of the papers selected for the audit, </w:t>
      </w:r>
      <w:r w:rsidR="00C309F5">
        <w:t>123</w:t>
      </w:r>
      <w:r w:rsidRPr="00A5205A">
        <w:t xml:space="preserve"> papers were excluded from the final assessment</w:t>
      </w:r>
      <w:r>
        <w:t xml:space="preserve"> either due to the criteria above, due to time constraints of the reviewer, or because the assigned reviewer had to leave the project</w:t>
      </w:r>
      <w:r w:rsidRPr="00A5205A">
        <w:t>. The</w:t>
      </w:r>
      <w:r>
        <w:t xml:space="preserve"> full table of </w:t>
      </w:r>
      <w:r w:rsidR="00C309F5">
        <w:t xml:space="preserve">included and </w:t>
      </w:r>
      <w:r>
        <w:t>excluded or not assessed papers can be found in the Supplementa</w:t>
      </w:r>
      <w:r w:rsidR="00C309F5">
        <w:t>l</w:t>
      </w:r>
      <w:r>
        <w:t xml:space="preserve"> Information.</w:t>
      </w:r>
    </w:p>
    <w:p w14:paraId="2EB5DBB7" w14:textId="77777777" w:rsidR="008354E8" w:rsidRPr="00492A76" w:rsidRDefault="008354E8" w:rsidP="008354E8">
      <w:pPr>
        <w:rPr>
          <w:sz w:val="20"/>
          <w:szCs w:val="20"/>
        </w:rPr>
      </w:pPr>
    </w:p>
    <w:p w14:paraId="11BAD4E0" w14:textId="77777777" w:rsidR="008354E8" w:rsidRPr="00492A76" w:rsidRDefault="008354E8" w:rsidP="008354E8">
      <w:pPr>
        <w:rPr>
          <w:sz w:val="20"/>
          <w:szCs w:val="20"/>
        </w:rPr>
      </w:pPr>
    </w:p>
    <w:p w14:paraId="47853D3D" w14:textId="77777777" w:rsidR="008354E8" w:rsidRPr="00712DEE" w:rsidRDefault="008354E8" w:rsidP="008354E8">
      <w:pPr>
        <w:rPr>
          <w:i/>
        </w:rPr>
      </w:pPr>
      <w:r w:rsidRPr="00712DEE">
        <w:rPr>
          <w:i/>
        </w:rPr>
        <w:t>The final list of journals used in the audit were:</w:t>
      </w:r>
    </w:p>
    <w:p w14:paraId="5D8B18E9" w14:textId="77777777" w:rsidR="008354E8" w:rsidRPr="00492A76" w:rsidRDefault="008354E8" w:rsidP="008354E8">
      <w:pPr>
        <w:rPr>
          <w:i/>
          <w:sz w:val="20"/>
          <w:szCs w:val="20"/>
        </w:rPr>
      </w:pPr>
      <w:r w:rsidRPr="00492A76">
        <w:rPr>
          <w:i/>
          <w:sz w:val="20"/>
          <w:szCs w:val="20"/>
        </w:rPr>
        <w:t xml:space="preserve"> </w:t>
      </w:r>
    </w:p>
    <w:p w14:paraId="3C4794FC" w14:textId="77777777" w:rsidR="008354E8" w:rsidRDefault="008354E8" w:rsidP="008354E8">
      <w:pPr>
        <w:pStyle w:val="Caption"/>
        <w:keepNext/>
      </w:pPr>
      <w:r>
        <w:rPr>
          <w:b/>
          <w:bCs/>
          <w:sz w:val="20"/>
          <w:szCs w:val="20"/>
          <w:lang w:val="en-GB"/>
        </w:rPr>
        <w:t>Table 6</w:t>
      </w:r>
      <w:r w:rsidRPr="000828D9">
        <w:rPr>
          <w:b/>
          <w:bCs/>
          <w:sz w:val="20"/>
          <w:szCs w:val="20"/>
          <w:lang w:val="en-GB"/>
        </w:rPr>
        <w:t xml:space="preserve">: </w:t>
      </w:r>
      <w:r>
        <w:rPr>
          <w:b/>
          <w:bCs/>
          <w:sz w:val="20"/>
          <w:szCs w:val="20"/>
          <w:lang w:val="en-GB"/>
        </w:rPr>
        <w:t>List of journals used in systematic audit</w:t>
      </w:r>
    </w:p>
    <w:tbl>
      <w:tblPr>
        <w:tblW w:w="9629" w:type="dxa"/>
        <w:tblBorders>
          <w:top w:val="nil"/>
          <w:left w:val="nil"/>
          <w:bottom w:val="nil"/>
          <w:right w:val="nil"/>
          <w:insideH w:val="nil"/>
          <w:insideV w:val="nil"/>
        </w:tblBorders>
        <w:tblLayout w:type="fixed"/>
        <w:tblLook w:val="0600" w:firstRow="0" w:lastRow="0" w:firstColumn="0" w:lastColumn="0" w:noHBand="1" w:noVBand="1"/>
      </w:tblPr>
      <w:tblGrid>
        <w:gridCol w:w="3090"/>
        <w:gridCol w:w="6539"/>
      </w:tblGrid>
      <w:tr w:rsidR="008354E8" w:rsidRPr="00492A76" w14:paraId="7D81FC53" w14:textId="77777777" w:rsidTr="00C21C70">
        <w:trPr>
          <w:trHeight w:val="1070"/>
        </w:trPr>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2B686E" w14:textId="77777777" w:rsidR="008354E8" w:rsidRPr="00492A76" w:rsidRDefault="008354E8" w:rsidP="00C21C70">
            <w:pPr>
              <w:rPr>
                <w:b/>
                <w:sz w:val="20"/>
                <w:szCs w:val="20"/>
              </w:rPr>
            </w:pPr>
            <w:r w:rsidRPr="00492A76">
              <w:rPr>
                <w:b/>
                <w:sz w:val="20"/>
                <w:szCs w:val="20"/>
              </w:rPr>
              <w:t>Field</w:t>
            </w:r>
          </w:p>
        </w:tc>
        <w:tc>
          <w:tcPr>
            <w:tcW w:w="653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52187C" w14:textId="77777777" w:rsidR="008354E8" w:rsidRPr="00492A76" w:rsidRDefault="008354E8" w:rsidP="00C21C70">
            <w:pPr>
              <w:rPr>
                <w:b/>
                <w:sz w:val="20"/>
                <w:szCs w:val="20"/>
              </w:rPr>
            </w:pPr>
            <w:r w:rsidRPr="00492A76">
              <w:rPr>
                <w:b/>
                <w:sz w:val="20"/>
                <w:szCs w:val="20"/>
              </w:rPr>
              <w:t>Journal</w:t>
            </w:r>
          </w:p>
        </w:tc>
      </w:tr>
      <w:tr w:rsidR="008354E8" w:rsidRPr="00492A76" w14:paraId="57E622AD" w14:textId="77777777" w:rsidTr="00C21C70">
        <w:trPr>
          <w:trHeight w:val="500"/>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B9ED97" w14:textId="77777777" w:rsidR="008354E8" w:rsidRPr="00492A76" w:rsidRDefault="008354E8" w:rsidP="00C21C70">
            <w:pPr>
              <w:rPr>
                <w:sz w:val="20"/>
                <w:szCs w:val="20"/>
              </w:rPr>
            </w:pPr>
            <w:r w:rsidRPr="00492A76">
              <w:rPr>
                <w:sz w:val="20"/>
                <w:szCs w:val="20"/>
              </w:rPr>
              <w:t>Ecology</w:t>
            </w:r>
          </w:p>
        </w:tc>
        <w:tc>
          <w:tcPr>
            <w:tcW w:w="6539" w:type="dxa"/>
            <w:tcBorders>
              <w:top w:val="nil"/>
              <w:left w:val="nil"/>
              <w:bottom w:val="single" w:sz="8" w:space="0" w:color="000000"/>
              <w:right w:val="single" w:sz="8" w:space="0" w:color="000000"/>
            </w:tcBorders>
            <w:tcMar>
              <w:top w:w="100" w:type="dxa"/>
              <w:left w:w="100" w:type="dxa"/>
              <w:bottom w:w="100" w:type="dxa"/>
              <w:right w:w="100" w:type="dxa"/>
            </w:tcMar>
          </w:tcPr>
          <w:p w14:paraId="3DDCBA5C" w14:textId="77777777" w:rsidR="008354E8" w:rsidRPr="00492A76" w:rsidRDefault="008354E8" w:rsidP="00C21C70">
            <w:pPr>
              <w:rPr>
                <w:sz w:val="20"/>
                <w:szCs w:val="20"/>
              </w:rPr>
            </w:pPr>
            <w:r w:rsidRPr="00492A76">
              <w:rPr>
                <w:sz w:val="20"/>
                <w:szCs w:val="20"/>
              </w:rPr>
              <w:t>Journal of Animal Ecology</w:t>
            </w:r>
          </w:p>
        </w:tc>
      </w:tr>
      <w:tr w:rsidR="008354E8" w:rsidRPr="00492A76" w14:paraId="3F93EB9F" w14:textId="77777777" w:rsidTr="00C21C70">
        <w:trPr>
          <w:trHeight w:val="500"/>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CD3D16" w14:textId="77777777" w:rsidR="008354E8" w:rsidRPr="00492A76" w:rsidRDefault="008354E8" w:rsidP="00C21C70">
            <w:pPr>
              <w:rPr>
                <w:sz w:val="20"/>
                <w:szCs w:val="20"/>
              </w:rPr>
            </w:pPr>
            <w:r w:rsidRPr="00492A76">
              <w:rPr>
                <w:sz w:val="20"/>
                <w:szCs w:val="20"/>
              </w:rPr>
              <w:t>Ecology</w:t>
            </w:r>
          </w:p>
        </w:tc>
        <w:tc>
          <w:tcPr>
            <w:tcW w:w="6539" w:type="dxa"/>
            <w:tcBorders>
              <w:top w:val="nil"/>
              <w:left w:val="nil"/>
              <w:bottom w:val="single" w:sz="8" w:space="0" w:color="000000"/>
              <w:right w:val="single" w:sz="8" w:space="0" w:color="000000"/>
            </w:tcBorders>
            <w:tcMar>
              <w:top w:w="100" w:type="dxa"/>
              <w:left w:w="100" w:type="dxa"/>
              <w:bottom w:w="100" w:type="dxa"/>
              <w:right w:w="100" w:type="dxa"/>
            </w:tcMar>
          </w:tcPr>
          <w:p w14:paraId="06AD4099" w14:textId="77777777" w:rsidR="008354E8" w:rsidRPr="00492A76" w:rsidRDefault="008354E8" w:rsidP="00C21C70">
            <w:pPr>
              <w:rPr>
                <w:sz w:val="20"/>
                <w:szCs w:val="20"/>
              </w:rPr>
            </w:pPr>
            <w:r w:rsidRPr="00492A76">
              <w:rPr>
                <w:sz w:val="20"/>
                <w:szCs w:val="20"/>
              </w:rPr>
              <w:t>Ecology</w:t>
            </w:r>
          </w:p>
        </w:tc>
      </w:tr>
      <w:tr w:rsidR="008354E8" w:rsidRPr="00492A76" w14:paraId="2049857C" w14:textId="77777777" w:rsidTr="00C21C70">
        <w:trPr>
          <w:trHeight w:val="785"/>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C31BE3" w14:textId="77777777" w:rsidR="008354E8" w:rsidRPr="00492A76" w:rsidRDefault="008354E8" w:rsidP="00C21C70">
            <w:pPr>
              <w:rPr>
                <w:sz w:val="20"/>
                <w:szCs w:val="20"/>
              </w:rPr>
            </w:pPr>
            <w:r w:rsidRPr="00492A76">
              <w:rPr>
                <w:sz w:val="20"/>
                <w:szCs w:val="20"/>
              </w:rPr>
              <w:t>Molecular Ecology/Evolution</w:t>
            </w:r>
          </w:p>
        </w:tc>
        <w:tc>
          <w:tcPr>
            <w:tcW w:w="6539" w:type="dxa"/>
            <w:tcBorders>
              <w:top w:val="nil"/>
              <w:left w:val="nil"/>
              <w:bottom w:val="single" w:sz="8" w:space="0" w:color="000000"/>
              <w:right w:val="single" w:sz="8" w:space="0" w:color="000000"/>
            </w:tcBorders>
            <w:tcMar>
              <w:top w:w="100" w:type="dxa"/>
              <w:left w:w="100" w:type="dxa"/>
              <w:bottom w:w="100" w:type="dxa"/>
              <w:right w:w="100" w:type="dxa"/>
            </w:tcMar>
          </w:tcPr>
          <w:p w14:paraId="6011A73C" w14:textId="77777777" w:rsidR="008354E8" w:rsidRPr="00492A76" w:rsidRDefault="008354E8" w:rsidP="00C21C70">
            <w:pPr>
              <w:rPr>
                <w:sz w:val="20"/>
                <w:szCs w:val="20"/>
              </w:rPr>
            </w:pPr>
            <w:r w:rsidRPr="00492A76">
              <w:rPr>
                <w:sz w:val="20"/>
                <w:szCs w:val="20"/>
              </w:rPr>
              <w:t>Molecular Ecology</w:t>
            </w:r>
          </w:p>
        </w:tc>
      </w:tr>
      <w:tr w:rsidR="008354E8" w:rsidRPr="00492A76" w14:paraId="3359087D" w14:textId="77777777" w:rsidTr="00C21C70">
        <w:trPr>
          <w:trHeight w:val="785"/>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F92B3F9" w14:textId="77777777" w:rsidR="008354E8" w:rsidRPr="00492A76" w:rsidRDefault="008354E8" w:rsidP="00C21C70">
            <w:pPr>
              <w:rPr>
                <w:sz w:val="20"/>
                <w:szCs w:val="20"/>
              </w:rPr>
            </w:pPr>
            <w:r w:rsidRPr="00492A76">
              <w:rPr>
                <w:sz w:val="20"/>
                <w:szCs w:val="20"/>
              </w:rPr>
              <w:t>Molecular Ecology/Evolution</w:t>
            </w:r>
          </w:p>
        </w:tc>
        <w:tc>
          <w:tcPr>
            <w:tcW w:w="6539" w:type="dxa"/>
            <w:tcBorders>
              <w:top w:val="nil"/>
              <w:left w:val="nil"/>
              <w:bottom w:val="single" w:sz="8" w:space="0" w:color="000000"/>
              <w:right w:val="single" w:sz="8" w:space="0" w:color="000000"/>
            </w:tcBorders>
            <w:tcMar>
              <w:top w:w="100" w:type="dxa"/>
              <w:left w:w="100" w:type="dxa"/>
              <w:bottom w:w="100" w:type="dxa"/>
              <w:right w:w="100" w:type="dxa"/>
            </w:tcMar>
          </w:tcPr>
          <w:p w14:paraId="7A0F2DB2" w14:textId="77777777" w:rsidR="008354E8" w:rsidRPr="00492A76" w:rsidRDefault="008354E8" w:rsidP="00C21C70">
            <w:pPr>
              <w:rPr>
                <w:sz w:val="20"/>
                <w:szCs w:val="20"/>
              </w:rPr>
            </w:pPr>
            <w:r w:rsidRPr="00492A76">
              <w:rPr>
                <w:sz w:val="20"/>
                <w:szCs w:val="20"/>
              </w:rPr>
              <w:t>Evolution</w:t>
            </w:r>
          </w:p>
        </w:tc>
      </w:tr>
      <w:tr w:rsidR="008354E8" w:rsidRPr="00492A76" w14:paraId="717593F6" w14:textId="77777777" w:rsidTr="00C21C70">
        <w:trPr>
          <w:trHeight w:val="500"/>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A782F1" w14:textId="77777777" w:rsidR="008354E8" w:rsidRPr="00492A76" w:rsidRDefault="008354E8" w:rsidP="00C21C70">
            <w:pPr>
              <w:rPr>
                <w:sz w:val="20"/>
                <w:szCs w:val="20"/>
              </w:rPr>
            </w:pPr>
            <w:r w:rsidRPr="00492A76">
              <w:rPr>
                <w:sz w:val="20"/>
                <w:szCs w:val="20"/>
              </w:rPr>
              <w:t>Climate Science</w:t>
            </w:r>
          </w:p>
        </w:tc>
        <w:tc>
          <w:tcPr>
            <w:tcW w:w="6539" w:type="dxa"/>
            <w:tcBorders>
              <w:top w:val="nil"/>
              <w:left w:val="nil"/>
              <w:bottom w:val="single" w:sz="8" w:space="0" w:color="000000"/>
              <w:right w:val="single" w:sz="8" w:space="0" w:color="000000"/>
            </w:tcBorders>
            <w:tcMar>
              <w:top w:w="100" w:type="dxa"/>
              <w:left w:w="100" w:type="dxa"/>
              <w:bottom w:w="100" w:type="dxa"/>
              <w:right w:w="100" w:type="dxa"/>
            </w:tcMar>
          </w:tcPr>
          <w:p w14:paraId="2A574818" w14:textId="222E3006" w:rsidR="008354E8" w:rsidRPr="00492A76" w:rsidRDefault="008354E8" w:rsidP="00C21C70">
            <w:pPr>
              <w:rPr>
                <w:sz w:val="20"/>
                <w:szCs w:val="20"/>
              </w:rPr>
            </w:pPr>
            <w:r w:rsidRPr="00492A76">
              <w:rPr>
                <w:sz w:val="20"/>
                <w:szCs w:val="20"/>
              </w:rPr>
              <w:t xml:space="preserve">Journal of Climate </w:t>
            </w:r>
          </w:p>
        </w:tc>
      </w:tr>
      <w:tr w:rsidR="008354E8" w:rsidRPr="00492A76" w14:paraId="63E0264A" w14:textId="77777777" w:rsidTr="00C21C70">
        <w:trPr>
          <w:trHeight w:val="500"/>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BA3D00" w14:textId="77777777" w:rsidR="008354E8" w:rsidRPr="00492A76" w:rsidRDefault="008354E8" w:rsidP="00C21C70">
            <w:pPr>
              <w:rPr>
                <w:sz w:val="20"/>
                <w:szCs w:val="20"/>
              </w:rPr>
            </w:pPr>
            <w:r w:rsidRPr="00492A76">
              <w:rPr>
                <w:sz w:val="20"/>
                <w:szCs w:val="20"/>
              </w:rPr>
              <w:t>Climate Science</w:t>
            </w:r>
          </w:p>
        </w:tc>
        <w:tc>
          <w:tcPr>
            <w:tcW w:w="6539" w:type="dxa"/>
            <w:tcBorders>
              <w:top w:val="nil"/>
              <w:left w:val="nil"/>
              <w:bottom w:val="single" w:sz="8" w:space="0" w:color="000000"/>
              <w:right w:val="single" w:sz="8" w:space="0" w:color="000000"/>
            </w:tcBorders>
            <w:tcMar>
              <w:top w:w="100" w:type="dxa"/>
              <w:left w:w="100" w:type="dxa"/>
              <w:bottom w:w="100" w:type="dxa"/>
              <w:right w:w="100" w:type="dxa"/>
            </w:tcMar>
          </w:tcPr>
          <w:p w14:paraId="71C313EC" w14:textId="1A2086DF" w:rsidR="008354E8" w:rsidRPr="00492A76" w:rsidRDefault="008354E8" w:rsidP="00C21C70">
            <w:pPr>
              <w:rPr>
                <w:sz w:val="20"/>
                <w:szCs w:val="20"/>
              </w:rPr>
            </w:pPr>
            <w:r w:rsidRPr="00492A76">
              <w:rPr>
                <w:sz w:val="20"/>
                <w:szCs w:val="20"/>
              </w:rPr>
              <w:t xml:space="preserve">Climate Dynamics </w:t>
            </w:r>
          </w:p>
        </w:tc>
      </w:tr>
      <w:tr w:rsidR="008354E8" w:rsidRPr="00492A76" w14:paraId="28DAC524" w14:textId="77777777" w:rsidTr="00C21C70">
        <w:trPr>
          <w:trHeight w:val="500"/>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29D1E8" w14:textId="77777777" w:rsidR="008354E8" w:rsidRPr="00492A76" w:rsidRDefault="008354E8" w:rsidP="00C21C70">
            <w:pPr>
              <w:rPr>
                <w:sz w:val="20"/>
                <w:szCs w:val="20"/>
              </w:rPr>
            </w:pPr>
            <w:r w:rsidRPr="00492A76">
              <w:rPr>
                <w:sz w:val="20"/>
                <w:szCs w:val="20"/>
              </w:rPr>
              <w:t>Neuroscience</w:t>
            </w:r>
          </w:p>
        </w:tc>
        <w:tc>
          <w:tcPr>
            <w:tcW w:w="6539" w:type="dxa"/>
            <w:tcBorders>
              <w:top w:val="nil"/>
              <w:left w:val="nil"/>
              <w:bottom w:val="single" w:sz="8" w:space="0" w:color="000000"/>
              <w:right w:val="single" w:sz="8" w:space="0" w:color="000000"/>
            </w:tcBorders>
            <w:tcMar>
              <w:top w:w="100" w:type="dxa"/>
              <w:left w:w="100" w:type="dxa"/>
              <w:bottom w:w="100" w:type="dxa"/>
              <w:right w:w="100" w:type="dxa"/>
            </w:tcMar>
          </w:tcPr>
          <w:p w14:paraId="44666FC6" w14:textId="77777777" w:rsidR="008354E8" w:rsidRPr="00492A76" w:rsidRDefault="008354E8" w:rsidP="00C21C70">
            <w:pPr>
              <w:rPr>
                <w:sz w:val="20"/>
                <w:szCs w:val="20"/>
              </w:rPr>
            </w:pPr>
            <w:r w:rsidRPr="00492A76">
              <w:rPr>
                <w:sz w:val="20"/>
                <w:szCs w:val="20"/>
              </w:rPr>
              <w:t>Nature Neuroscience</w:t>
            </w:r>
          </w:p>
        </w:tc>
      </w:tr>
      <w:tr w:rsidR="008354E8" w:rsidRPr="00492A76" w14:paraId="22124A66" w14:textId="77777777" w:rsidTr="00C21C70">
        <w:trPr>
          <w:trHeight w:val="500"/>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C9B11F" w14:textId="77777777" w:rsidR="008354E8" w:rsidRPr="00492A76" w:rsidRDefault="008354E8" w:rsidP="00C21C70">
            <w:pPr>
              <w:rPr>
                <w:sz w:val="20"/>
                <w:szCs w:val="20"/>
              </w:rPr>
            </w:pPr>
            <w:r w:rsidRPr="00492A76">
              <w:rPr>
                <w:sz w:val="20"/>
                <w:szCs w:val="20"/>
              </w:rPr>
              <w:t>Neuroscience</w:t>
            </w:r>
          </w:p>
        </w:tc>
        <w:tc>
          <w:tcPr>
            <w:tcW w:w="6539" w:type="dxa"/>
            <w:tcBorders>
              <w:top w:val="nil"/>
              <w:left w:val="nil"/>
              <w:bottom w:val="single" w:sz="8" w:space="0" w:color="000000"/>
              <w:right w:val="single" w:sz="8" w:space="0" w:color="000000"/>
            </w:tcBorders>
            <w:tcMar>
              <w:top w:w="100" w:type="dxa"/>
              <w:left w:w="100" w:type="dxa"/>
              <w:bottom w:w="100" w:type="dxa"/>
              <w:right w:w="100" w:type="dxa"/>
            </w:tcMar>
          </w:tcPr>
          <w:p w14:paraId="339CD132" w14:textId="77777777" w:rsidR="008354E8" w:rsidRPr="00492A76" w:rsidRDefault="008354E8" w:rsidP="00C21C70">
            <w:pPr>
              <w:rPr>
                <w:sz w:val="20"/>
                <w:szCs w:val="20"/>
              </w:rPr>
            </w:pPr>
            <w:r w:rsidRPr="00492A76">
              <w:rPr>
                <w:sz w:val="20"/>
                <w:szCs w:val="20"/>
              </w:rPr>
              <w:t>The Journal of Neuroscience</w:t>
            </w:r>
          </w:p>
        </w:tc>
      </w:tr>
      <w:tr w:rsidR="008354E8" w:rsidRPr="00492A76" w14:paraId="1FBAEB39" w14:textId="77777777" w:rsidTr="00C21C70">
        <w:trPr>
          <w:trHeight w:val="500"/>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BCFFBA" w14:textId="77777777" w:rsidR="008354E8" w:rsidRPr="00492A76" w:rsidRDefault="008354E8" w:rsidP="00C21C70">
            <w:pPr>
              <w:rPr>
                <w:sz w:val="20"/>
                <w:szCs w:val="20"/>
              </w:rPr>
            </w:pPr>
            <w:r w:rsidRPr="00492A76">
              <w:rPr>
                <w:sz w:val="20"/>
                <w:szCs w:val="20"/>
              </w:rPr>
              <w:t>Political Science</w:t>
            </w:r>
            <w:r>
              <w:rPr>
                <w:sz w:val="20"/>
                <w:szCs w:val="20"/>
              </w:rPr>
              <w:t>*</w:t>
            </w:r>
          </w:p>
        </w:tc>
        <w:tc>
          <w:tcPr>
            <w:tcW w:w="6539" w:type="dxa"/>
            <w:tcBorders>
              <w:top w:val="nil"/>
              <w:left w:val="nil"/>
              <w:bottom w:val="single" w:sz="8" w:space="0" w:color="000000"/>
              <w:right w:val="single" w:sz="8" w:space="0" w:color="000000"/>
            </w:tcBorders>
            <w:tcMar>
              <w:top w:w="100" w:type="dxa"/>
              <w:left w:w="100" w:type="dxa"/>
              <w:bottom w:w="100" w:type="dxa"/>
              <w:right w:w="100" w:type="dxa"/>
            </w:tcMar>
          </w:tcPr>
          <w:p w14:paraId="17AB3FCA" w14:textId="77777777" w:rsidR="008354E8" w:rsidRPr="00492A76" w:rsidRDefault="008354E8" w:rsidP="00C21C70">
            <w:pPr>
              <w:rPr>
                <w:sz w:val="20"/>
                <w:szCs w:val="20"/>
              </w:rPr>
            </w:pPr>
            <w:r w:rsidRPr="00492A76">
              <w:rPr>
                <w:sz w:val="20"/>
                <w:szCs w:val="20"/>
              </w:rPr>
              <w:t>American Journal of Political Science</w:t>
            </w:r>
          </w:p>
        </w:tc>
      </w:tr>
      <w:tr w:rsidR="008354E8" w:rsidRPr="00492A76" w14:paraId="1B07A077" w14:textId="77777777" w:rsidTr="00C21C70">
        <w:trPr>
          <w:trHeight w:val="500"/>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DE9E15" w14:textId="77777777" w:rsidR="008354E8" w:rsidRPr="00492A76" w:rsidRDefault="008354E8" w:rsidP="00C21C70">
            <w:pPr>
              <w:rPr>
                <w:sz w:val="20"/>
                <w:szCs w:val="20"/>
              </w:rPr>
            </w:pPr>
            <w:r w:rsidRPr="00492A76">
              <w:rPr>
                <w:sz w:val="20"/>
                <w:szCs w:val="20"/>
              </w:rPr>
              <w:lastRenderedPageBreak/>
              <w:t>Political Science</w:t>
            </w:r>
            <w:r>
              <w:rPr>
                <w:sz w:val="20"/>
                <w:szCs w:val="20"/>
              </w:rPr>
              <w:t>*</w:t>
            </w:r>
          </w:p>
        </w:tc>
        <w:tc>
          <w:tcPr>
            <w:tcW w:w="6539" w:type="dxa"/>
            <w:tcBorders>
              <w:top w:val="nil"/>
              <w:left w:val="nil"/>
              <w:bottom w:val="single" w:sz="8" w:space="0" w:color="000000"/>
              <w:right w:val="single" w:sz="8" w:space="0" w:color="000000"/>
            </w:tcBorders>
            <w:tcMar>
              <w:top w:w="100" w:type="dxa"/>
              <w:left w:w="100" w:type="dxa"/>
              <w:bottom w:w="100" w:type="dxa"/>
              <w:right w:w="100" w:type="dxa"/>
            </w:tcMar>
          </w:tcPr>
          <w:p w14:paraId="57636431" w14:textId="77777777" w:rsidR="008354E8" w:rsidRPr="00492A76" w:rsidRDefault="008354E8" w:rsidP="00C21C70">
            <w:pPr>
              <w:rPr>
                <w:sz w:val="20"/>
                <w:szCs w:val="20"/>
              </w:rPr>
            </w:pPr>
            <w:r w:rsidRPr="00492A76">
              <w:rPr>
                <w:sz w:val="20"/>
                <w:szCs w:val="20"/>
              </w:rPr>
              <w:t xml:space="preserve">British Journal of Political Science </w:t>
            </w:r>
          </w:p>
        </w:tc>
      </w:tr>
      <w:tr w:rsidR="008354E8" w:rsidRPr="00492A76" w14:paraId="309F2065" w14:textId="77777777" w:rsidTr="00C21C70">
        <w:trPr>
          <w:trHeight w:val="500"/>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A3C7F4" w14:textId="77777777" w:rsidR="008354E8" w:rsidRPr="00492A76" w:rsidRDefault="008354E8" w:rsidP="00C21C70">
            <w:pPr>
              <w:rPr>
                <w:sz w:val="20"/>
                <w:szCs w:val="20"/>
              </w:rPr>
            </w:pPr>
            <w:r w:rsidRPr="00492A76">
              <w:rPr>
                <w:sz w:val="20"/>
                <w:szCs w:val="20"/>
              </w:rPr>
              <w:t>Political Science</w:t>
            </w:r>
            <w:r>
              <w:rPr>
                <w:sz w:val="20"/>
                <w:szCs w:val="20"/>
              </w:rPr>
              <w:t>*</w:t>
            </w:r>
          </w:p>
        </w:tc>
        <w:tc>
          <w:tcPr>
            <w:tcW w:w="6539" w:type="dxa"/>
            <w:tcBorders>
              <w:top w:val="nil"/>
              <w:left w:val="nil"/>
              <w:bottom w:val="single" w:sz="8" w:space="0" w:color="000000"/>
              <w:right w:val="single" w:sz="8" w:space="0" w:color="000000"/>
            </w:tcBorders>
            <w:tcMar>
              <w:top w:w="100" w:type="dxa"/>
              <w:left w:w="100" w:type="dxa"/>
              <w:bottom w:w="100" w:type="dxa"/>
              <w:right w:w="100" w:type="dxa"/>
            </w:tcMar>
          </w:tcPr>
          <w:p w14:paraId="3C3AA37F" w14:textId="4125C3B2" w:rsidR="008354E8" w:rsidRPr="00492A76" w:rsidRDefault="008354E8" w:rsidP="00C21C70">
            <w:pPr>
              <w:rPr>
                <w:sz w:val="20"/>
                <w:szCs w:val="20"/>
              </w:rPr>
            </w:pPr>
            <w:r>
              <w:rPr>
                <w:sz w:val="20"/>
                <w:szCs w:val="20"/>
              </w:rPr>
              <w:t>International Organi</w:t>
            </w:r>
            <w:r w:rsidR="00ED3AB1">
              <w:rPr>
                <w:sz w:val="20"/>
                <w:szCs w:val="20"/>
              </w:rPr>
              <w:t>z</w:t>
            </w:r>
            <w:r>
              <w:rPr>
                <w:sz w:val="20"/>
                <w:szCs w:val="20"/>
              </w:rPr>
              <w:t>ation</w:t>
            </w:r>
          </w:p>
        </w:tc>
      </w:tr>
      <w:tr w:rsidR="008354E8" w:rsidRPr="00492A76" w14:paraId="295D0C8F" w14:textId="77777777" w:rsidTr="00C21C70">
        <w:trPr>
          <w:trHeight w:val="500"/>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AA93B0" w14:textId="77777777" w:rsidR="008354E8" w:rsidRPr="00492A76" w:rsidRDefault="008354E8" w:rsidP="00C21C70">
            <w:pPr>
              <w:rPr>
                <w:sz w:val="20"/>
                <w:szCs w:val="20"/>
              </w:rPr>
            </w:pPr>
            <w:r w:rsidRPr="00492A76">
              <w:rPr>
                <w:sz w:val="20"/>
                <w:szCs w:val="20"/>
              </w:rPr>
              <w:t>Health Sciences</w:t>
            </w:r>
          </w:p>
        </w:tc>
        <w:tc>
          <w:tcPr>
            <w:tcW w:w="6539" w:type="dxa"/>
            <w:tcBorders>
              <w:top w:val="nil"/>
              <w:left w:val="nil"/>
              <w:bottom w:val="single" w:sz="8" w:space="0" w:color="000000"/>
              <w:right w:val="single" w:sz="8" w:space="0" w:color="000000"/>
            </w:tcBorders>
            <w:tcMar>
              <w:top w:w="100" w:type="dxa"/>
              <w:left w:w="100" w:type="dxa"/>
              <w:bottom w:w="100" w:type="dxa"/>
              <w:right w:w="100" w:type="dxa"/>
            </w:tcMar>
          </w:tcPr>
          <w:p w14:paraId="21F0AE57" w14:textId="77777777" w:rsidR="008354E8" w:rsidRPr="00492A76" w:rsidRDefault="008354E8" w:rsidP="00C21C70">
            <w:pPr>
              <w:rPr>
                <w:sz w:val="20"/>
                <w:szCs w:val="20"/>
              </w:rPr>
            </w:pPr>
            <w:r w:rsidRPr="00492A76">
              <w:rPr>
                <w:sz w:val="20"/>
                <w:szCs w:val="20"/>
              </w:rPr>
              <w:t>British Medical Journal</w:t>
            </w:r>
          </w:p>
        </w:tc>
      </w:tr>
      <w:tr w:rsidR="008354E8" w:rsidRPr="00492A76" w14:paraId="7A8FE806" w14:textId="77777777" w:rsidTr="00C21C70">
        <w:trPr>
          <w:trHeight w:val="500"/>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B79254" w14:textId="77777777" w:rsidR="008354E8" w:rsidRPr="00492A76" w:rsidRDefault="008354E8" w:rsidP="00C21C70">
            <w:pPr>
              <w:rPr>
                <w:sz w:val="20"/>
                <w:szCs w:val="20"/>
              </w:rPr>
            </w:pPr>
            <w:r w:rsidRPr="00492A76">
              <w:rPr>
                <w:sz w:val="20"/>
                <w:szCs w:val="20"/>
              </w:rPr>
              <w:t>Health Sciences</w:t>
            </w:r>
          </w:p>
        </w:tc>
        <w:tc>
          <w:tcPr>
            <w:tcW w:w="6539" w:type="dxa"/>
            <w:tcBorders>
              <w:top w:val="nil"/>
              <w:left w:val="nil"/>
              <w:bottom w:val="single" w:sz="8" w:space="0" w:color="000000"/>
              <w:right w:val="single" w:sz="8" w:space="0" w:color="000000"/>
            </w:tcBorders>
            <w:tcMar>
              <w:top w:w="100" w:type="dxa"/>
              <w:left w:w="100" w:type="dxa"/>
              <w:bottom w:w="100" w:type="dxa"/>
              <w:right w:w="100" w:type="dxa"/>
            </w:tcMar>
          </w:tcPr>
          <w:p w14:paraId="2A758C30" w14:textId="77777777" w:rsidR="008354E8" w:rsidRPr="00492A76" w:rsidRDefault="008354E8" w:rsidP="00C21C70">
            <w:pPr>
              <w:rPr>
                <w:sz w:val="20"/>
                <w:szCs w:val="20"/>
              </w:rPr>
            </w:pPr>
            <w:r w:rsidRPr="00492A76">
              <w:rPr>
                <w:sz w:val="20"/>
                <w:szCs w:val="20"/>
              </w:rPr>
              <w:t>BMC Medicine</w:t>
            </w:r>
          </w:p>
        </w:tc>
      </w:tr>
      <w:tr w:rsidR="008354E8" w:rsidRPr="00492A76" w14:paraId="3C2C5A17" w14:textId="77777777" w:rsidTr="00C21C70">
        <w:trPr>
          <w:trHeight w:val="500"/>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C51F2B" w14:textId="77777777" w:rsidR="008354E8" w:rsidRPr="00492A76" w:rsidRDefault="008354E8" w:rsidP="00C21C70">
            <w:pPr>
              <w:rPr>
                <w:sz w:val="20"/>
                <w:szCs w:val="20"/>
              </w:rPr>
            </w:pPr>
            <w:r w:rsidRPr="00492A76">
              <w:rPr>
                <w:sz w:val="20"/>
                <w:szCs w:val="20"/>
              </w:rPr>
              <w:t>Oceanography</w:t>
            </w:r>
          </w:p>
        </w:tc>
        <w:tc>
          <w:tcPr>
            <w:tcW w:w="6539" w:type="dxa"/>
            <w:tcBorders>
              <w:top w:val="nil"/>
              <w:left w:val="nil"/>
              <w:bottom w:val="single" w:sz="8" w:space="0" w:color="000000"/>
              <w:right w:val="single" w:sz="8" w:space="0" w:color="000000"/>
            </w:tcBorders>
            <w:tcMar>
              <w:top w:w="100" w:type="dxa"/>
              <w:left w:w="100" w:type="dxa"/>
              <w:bottom w:w="100" w:type="dxa"/>
              <w:right w:w="100" w:type="dxa"/>
            </w:tcMar>
          </w:tcPr>
          <w:p w14:paraId="0E49B188" w14:textId="77777777" w:rsidR="008354E8" w:rsidRPr="00492A76" w:rsidRDefault="008354E8" w:rsidP="00C21C70">
            <w:pPr>
              <w:rPr>
                <w:sz w:val="20"/>
                <w:szCs w:val="20"/>
              </w:rPr>
            </w:pPr>
            <w:r w:rsidRPr="00492A76">
              <w:rPr>
                <w:sz w:val="20"/>
                <w:szCs w:val="20"/>
              </w:rPr>
              <w:t>Journal of Geophysical Research: Oceans</w:t>
            </w:r>
          </w:p>
        </w:tc>
      </w:tr>
      <w:tr w:rsidR="008354E8" w:rsidRPr="00492A76" w14:paraId="1DC91FEE" w14:textId="77777777" w:rsidTr="00C21C70">
        <w:trPr>
          <w:trHeight w:val="500"/>
        </w:trPr>
        <w:tc>
          <w:tcPr>
            <w:tcW w:w="30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88FA3A" w14:textId="77777777" w:rsidR="008354E8" w:rsidRPr="00492A76" w:rsidRDefault="008354E8" w:rsidP="00C21C70">
            <w:pPr>
              <w:rPr>
                <w:sz w:val="20"/>
                <w:szCs w:val="20"/>
              </w:rPr>
            </w:pPr>
            <w:r w:rsidRPr="00492A76">
              <w:rPr>
                <w:sz w:val="20"/>
                <w:szCs w:val="20"/>
              </w:rPr>
              <w:t>Oceanography</w:t>
            </w:r>
          </w:p>
        </w:tc>
        <w:tc>
          <w:tcPr>
            <w:tcW w:w="6539" w:type="dxa"/>
            <w:tcBorders>
              <w:top w:val="nil"/>
              <w:left w:val="nil"/>
              <w:bottom w:val="single" w:sz="8" w:space="0" w:color="000000"/>
              <w:right w:val="single" w:sz="8" w:space="0" w:color="000000"/>
            </w:tcBorders>
            <w:tcMar>
              <w:top w:w="100" w:type="dxa"/>
              <w:left w:w="100" w:type="dxa"/>
              <w:bottom w:w="100" w:type="dxa"/>
              <w:right w:w="100" w:type="dxa"/>
            </w:tcMar>
          </w:tcPr>
          <w:p w14:paraId="7DF43CB0" w14:textId="77777777" w:rsidR="008354E8" w:rsidRPr="00492A76" w:rsidRDefault="008354E8" w:rsidP="00C21C70">
            <w:pPr>
              <w:rPr>
                <w:sz w:val="20"/>
                <w:szCs w:val="20"/>
              </w:rPr>
            </w:pPr>
            <w:r w:rsidRPr="00492A76">
              <w:rPr>
                <w:sz w:val="20"/>
                <w:szCs w:val="20"/>
              </w:rPr>
              <w:t>Journal of Physical Oceanography</w:t>
            </w:r>
          </w:p>
        </w:tc>
      </w:tr>
    </w:tbl>
    <w:p w14:paraId="47DAA7D4" w14:textId="77777777" w:rsidR="008354E8" w:rsidRDefault="008354E8" w:rsidP="008354E8">
      <w:pPr>
        <w:rPr>
          <w:i/>
          <w:sz w:val="20"/>
          <w:szCs w:val="20"/>
        </w:rPr>
      </w:pPr>
      <w:r w:rsidRPr="0043717A">
        <w:rPr>
          <w:i/>
          <w:sz w:val="20"/>
          <w:szCs w:val="20"/>
        </w:rPr>
        <w:t xml:space="preserve"> </w:t>
      </w:r>
      <w:r>
        <w:rPr>
          <w:i/>
          <w:sz w:val="20"/>
          <w:szCs w:val="20"/>
        </w:rPr>
        <w:t xml:space="preserve">* </w:t>
      </w:r>
      <w:r w:rsidRPr="0043717A">
        <w:rPr>
          <w:i/>
          <w:sz w:val="20"/>
          <w:szCs w:val="20"/>
        </w:rPr>
        <w:t xml:space="preserve">Political </w:t>
      </w:r>
      <w:r>
        <w:rPr>
          <w:i/>
          <w:sz w:val="20"/>
          <w:szCs w:val="20"/>
        </w:rPr>
        <w:t xml:space="preserve">Sciences assessed three journals </w:t>
      </w:r>
      <w:proofErr w:type="gramStart"/>
      <w:r>
        <w:rPr>
          <w:i/>
          <w:sz w:val="20"/>
          <w:szCs w:val="20"/>
        </w:rPr>
        <w:t>in order to</w:t>
      </w:r>
      <w:proofErr w:type="gramEnd"/>
      <w:r>
        <w:rPr>
          <w:i/>
          <w:sz w:val="20"/>
          <w:szCs w:val="20"/>
        </w:rPr>
        <w:t xml:space="preserve"> achieve a sufficient sample size due to a small number of original research articles per issue</w:t>
      </w:r>
    </w:p>
    <w:p w14:paraId="2A655CF7" w14:textId="77777777" w:rsidR="008354E8" w:rsidRPr="0043717A" w:rsidRDefault="008354E8" w:rsidP="008354E8">
      <w:pPr>
        <w:rPr>
          <w:i/>
          <w:sz w:val="20"/>
          <w:szCs w:val="20"/>
        </w:rPr>
      </w:pPr>
    </w:p>
    <w:p w14:paraId="0DAC2741" w14:textId="77777777" w:rsidR="008354E8" w:rsidRPr="008D53F7" w:rsidRDefault="008354E8" w:rsidP="008354E8">
      <w:pPr>
        <w:rPr>
          <w:i/>
        </w:rPr>
      </w:pPr>
      <w:r w:rsidRPr="008D53F7">
        <w:rPr>
          <w:i/>
        </w:rPr>
        <w:t>Extracting papers from the journals:</w:t>
      </w:r>
    </w:p>
    <w:p w14:paraId="206AB2F2" w14:textId="77777777" w:rsidR="008354E8" w:rsidRPr="008D53F7" w:rsidRDefault="008354E8" w:rsidP="008354E8">
      <w:r w:rsidRPr="008D53F7">
        <w:rPr>
          <w:i/>
        </w:rPr>
        <w:t xml:space="preserve"> </w:t>
      </w:r>
      <w:r w:rsidRPr="008D53F7">
        <w:t xml:space="preserve"> </w:t>
      </w:r>
    </w:p>
    <w:p w14:paraId="385FA895" w14:textId="77777777" w:rsidR="008354E8" w:rsidRPr="008D53F7" w:rsidRDefault="008354E8" w:rsidP="008354E8">
      <w:r w:rsidRPr="008D53F7">
        <w:t xml:space="preserve">There were no fixed number of issues chosen for each journal, instead, enough issues were chosen to be able to extract around 50 original research papers per journal. This led to a total of </w:t>
      </w:r>
      <w:r>
        <w:t>50</w:t>
      </w:r>
      <w:r w:rsidRPr="008D53F7">
        <w:t>-110 papers per field being extracted for audit.</w:t>
      </w:r>
    </w:p>
    <w:p w14:paraId="48D33E96" w14:textId="77777777" w:rsidR="008354E8" w:rsidRPr="008D53F7" w:rsidRDefault="008354E8" w:rsidP="008354E8">
      <w:r w:rsidRPr="008D53F7">
        <w:t xml:space="preserve"> </w:t>
      </w:r>
    </w:p>
    <w:p w14:paraId="6B14CDE4" w14:textId="77777777" w:rsidR="008354E8" w:rsidRPr="008D53F7" w:rsidRDefault="008354E8" w:rsidP="008354E8">
      <w:r w:rsidRPr="008D53F7">
        <w:t>Once research papers were extracted, they were randomly assigned to reviewers in each field. Each individual reviewer then screened their assigned papers for presence of a model and excluded any article types listed in the ‘exclusion criteria’.</w:t>
      </w:r>
    </w:p>
    <w:p w14:paraId="182B9606" w14:textId="77777777" w:rsidR="008354E8" w:rsidRPr="008D53F7" w:rsidRDefault="008354E8" w:rsidP="008354E8">
      <w:pPr>
        <w:rPr>
          <w:rFonts w:ascii="Times New Roman" w:eastAsia="Times New Roman" w:hAnsi="Times New Roman" w:cs="Times New Roman"/>
        </w:rPr>
      </w:pPr>
      <w:r w:rsidRPr="008D53F7">
        <w:rPr>
          <w:rFonts w:ascii="Times New Roman" w:eastAsia="Times New Roman" w:hAnsi="Times New Roman" w:cs="Times New Roman"/>
        </w:rPr>
        <w:t xml:space="preserve"> </w:t>
      </w:r>
    </w:p>
    <w:p w14:paraId="5B2710C3" w14:textId="77777777" w:rsidR="008354E8" w:rsidRPr="008D53F7" w:rsidRDefault="008354E8" w:rsidP="008354E8">
      <w:r w:rsidRPr="008D53F7">
        <w:t>In total, we audited 50-110 papers per field. The exact number of papers audited was dependent on; time constraints of reviewers (this was particularly challenging due to increased pressures from the coronavirus pandemic), desired breadth of coverage of the field, and number of team members per field.</w:t>
      </w:r>
    </w:p>
    <w:p w14:paraId="04BAE59B" w14:textId="77777777" w:rsidR="008354E8" w:rsidRPr="008D53F7" w:rsidRDefault="008354E8" w:rsidP="008354E8">
      <w:pPr>
        <w:rPr>
          <w:b/>
          <w:i/>
        </w:rPr>
      </w:pPr>
      <w:r w:rsidRPr="008D53F7">
        <w:rPr>
          <w:b/>
          <w:i/>
        </w:rPr>
        <w:t xml:space="preserve"> </w:t>
      </w:r>
    </w:p>
    <w:p w14:paraId="110719D8" w14:textId="77777777" w:rsidR="008354E8" w:rsidRPr="008D53F7" w:rsidRDefault="008354E8" w:rsidP="008354E8">
      <w:pPr>
        <w:rPr>
          <w:i/>
        </w:rPr>
      </w:pPr>
      <w:r w:rsidRPr="008D53F7">
        <w:rPr>
          <w:i/>
        </w:rPr>
        <w:t>Reviewer training:</w:t>
      </w:r>
    </w:p>
    <w:p w14:paraId="58771F3A" w14:textId="77777777" w:rsidR="008354E8" w:rsidRPr="008D53F7" w:rsidRDefault="008354E8" w:rsidP="008354E8">
      <w:pPr>
        <w:rPr>
          <w:b/>
        </w:rPr>
      </w:pPr>
    </w:p>
    <w:p w14:paraId="6CF5D0E7" w14:textId="77777777" w:rsidR="008354E8" w:rsidRPr="008D53F7" w:rsidRDefault="008354E8" w:rsidP="008354E8">
      <w:r w:rsidRPr="008D53F7">
        <w:t>The first phase of the systematic audit was a reviewer training phase. This was conducted within each field team to ensure that all reviewers were familiar and comfortable with the instructions and framework, that all reviewers were applying the criteria consistently, and that the framework was applicable to papers from each field included in this audit.</w:t>
      </w:r>
    </w:p>
    <w:p w14:paraId="2D5C3025" w14:textId="77777777" w:rsidR="008354E8" w:rsidRPr="008D53F7" w:rsidRDefault="008354E8" w:rsidP="008354E8">
      <w:r w:rsidRPr="008D53F7">
        <w:t xml:space="preserve"> </w:t>
      </w:r>
    </w:p>
    <w:p w14:paraId="44AFC997" w14:textId="77777777" w:rsidR="008354E8" w:rsidRPr="008D53F7" w:rsidRDefault="008354E8" w:rsidP="008354E8">
      <w:r w:rsidRPr="008D53F7">
        <w:t xml:space="preserve">The reviewer training phase consisted of all reviewers in each field auditing the </w:t>
      </w:r>
      <w:r w:rsidRPr="008D53F7">
        <w:rPr>
          <w:b/>
        </w:rPr>
        <w:t>same four-five</w:t>
      </w:r>
      <w:r w:rsidRPr="008D53F7">
        <w:t xml:space="preserve"> papers. These papers were taken from one of the target journals for each field also from 2019 (but independent of the articles to be used for the main audit). The papers for the training phase were selected by choosing the first four-five papers in the target issue.</w:t>
      </w:r>
    </w:p>
    <w:p w14:paraId="26D59101" w14:textId="77777777" w:rsidR="008354E8" w:rsidRPr="008D53F7" w:rsidRDefault="008354E8" w:rsidP="008354E8">
      <w:pPr>
        <w:rPr>
          <w:rFonts w:ascii="Times New Roman" w:eastAsia="Times New Roman" w:hAnsi="Times New Roman" w:cs="Times New Roman"/>
        </w:rPr>
      </w:pPr>
      <w:r w:rsidRPr="008D53F7">
        <w:rPr>
          <w:rFonts w:ascii="Times New Roman" w:eastAsia="Times New Roman" w:hAnsi="Times New Roman" w:cs="Times New Roman"/>
        </w:rPr>
        <w:t xml:space="preserve"> </w:t>
      </w:r>
    </w:p>
    <w:p w14:paraId="6A28A376" w14:textId="77777777" w:rsidR="008354E8" w:rsidRPr="008D53F7" w:rsidRDefault="008354E8" w:rsidP="008354E8">
      <w:r w:rsidRPr="008D53F7">
        <w:t xml:space="preserve">For Evolution/Molecular Ecology and Health Sciences the training phase was run slightly differently. Instead of the four-five papers being taken from a single journal two papers were selected from each of the two journals chosen for these fields. This tweak to the protocol was applied as the journals in these fields each have a substantially different style. In addition, the journal ‘Molecular Ecology’ has a sub-section structure, therefore, to ensure breadth of training papers, one paper was selected from the first subsection and one </w:t>
      </w:r>
      <w:r w:rsidRPr="008D53F7">
        <w:lastRenderedPageBreak/>
        <w:t xml:space="preserve">from second in the September issue of this journal. Both papers were the first papers listed in each sub-section. </w:t>
      </w:r>
    </w:p>
    <w:p w14:paraId="3413C660" w14:textId="77777777" w:rsidR="008354E8" w:rsidRPr="008D53F7" w:rsidRDefault="008354E8" w:rsidP="008354E8">
      <w:r w:rsidRPr="008D53F7">
        <w:t xml:space="preserve"> </w:t>
      </w:r>
    </w:p>
    <w:p w14:paraId="75AE28EA" w14:textId="77777777" w:rsidR="008354E8" w:rsidRPr="008D53F7" w:rsidRDefault="008354E8" w:rsidP="008354E8">
      <w:r w:rsidRPr="008D53F7">
        <w:t xml:space="preserve">Once all reviewers had completed the training audits their tables of results were sent to the project leader (E. G. Simmonds). The project leader then </w:t>
      </w:r>
      <w:proofErr w:type="spellStart"/>
      <w:r w:rsidRPr="008D53F7">
        <w:t>analysed</w:t>
      </w:r>
      <w:proofErr w:type="spellEnd"/>
      <w:r w:rsidRPr="008D53F7">
        <w:t xml:space="preserve"> the results by calculating percentage agreement scores in the same way as described above. A meeting was then held with each field team including the project leader to discuss the results of the training, answer any reviewer questions, address the causes of any low agreement, and ensure that the instructions were clear and easy to follow. The presence of the project lead in </w:t>
      </w:r>
      <w:proofErr w:type="gramStart"/>
      <w:r w:rsidRPr="008D53F7">
        <w:t>all of</w:t>
      </w:r>
      <w:proofErr w:type="gramEnd"/>
      <w:r w:rsidRPr="008D53F7">
        <w:t xml:space="preserve"> these field specific meetings ensured consistent interpretation and implementation of the audit framework across fields.</w:t>
      </w:r>
    </w:p>
    <w:p w14:paraId="35648342" w14:textId="77777777" w:rsidR="008354E8" w:rsidRPr="008D53F7" w:rsidRDefault="008354E8" w:rsidP="008354E8">
      <w:r w:rsidRPr="008D53F7">
        <w:t xml:space="preserve"> </w:t>
      </w:r>
    </w:p>
    <w:p w14:paraId="6C0C4454" w14:textId="77777777" w:rsidR="008354E8" w:rsidRPr="008D53F7" w:rsidRDefault="008354E8" w:rsidP="008354E8">
      <w:r w:rsidRPr="008D53F7">
        <w:t xml:space="preserve">Where low agreement was noted during this training phase (low agreement defined as &lt; 70% agreement), the causes of this were discussed in the summary meeting and a consensus achieved to resolve the cause of the inconsistency, to avoid discrepancies in future, and ensure between-reviewer consistency. </w:t>
      </w:r>
    </w:p>
    <w:p w14:paraId="2DA6440D" w14:textId="77777777" w:rsidR="008354E8" w:rsidRPr="00492A76" w:rsidRDefault="008354E8" w:rsidP="008354E8">
      <w:pPr>
        <w:rPr>
          <w:rFonts w:ascii="Times New Roman" w:eastAsia="Times New Roman" w:hAnsi="Times New Roman" w:cs="Times New Roman"/>
          <w:sz w:val="20"/>
          <w:szCs w:val="20"/>
        </w:rPr>
      </w:pPr>
      <w:r w:rsidRPr="00492A76">
        <w:rPr>
          <w:rFonts w:ascii="Times New Roman" w:eastAsia="Times New Roman" w:hAnsi="Times New Roman" w:cs="Times New Roman"/>
          <w:sz w:val="20"/>
          <w:szCs w:val="20"/>
        </w:rPr>
        <w:t xml:space="preserve"> </w:t>
      </w:r>
    </w:p>
    <w:p w14:paraId="5E8D722D" w14:textId="77777777" w:rsidR="008354E8" w:rsidRPr="008D53F7" w:rsidRDefault="008354E8" w:rsidP="008354E8">
      <w:pPr>
        <w:rPr>
          <w:highlight w:val="yellow"/>
        </w:rPr>
      </w:pPr>
      <w:r w:rsidRPr="008D53F7">
        <w:t>Following the first set of reviewer training (for the Ecology, Oceanography, Neuroscience, and Political Science teams), the instructions were updated to be more detailed and reflect the concerns raised during these meetings. This step ensured that any lack of clarity was immediately addressed and communicated to all members of the project, further improving between-reviewer consistency.</w:t>
      </w:r>
      <w:r w:rsidRPr="008D53F7">
        <w:rPr>
          <w:rFonts w:ascii="Times New Roman" w:eastAsia="Times New Roman" w:hAnsi="Times New Roman" w:cs="Times New Roman"/>
        </w:rPr>
        <w:t xml:space="preserve"> </w:t>
      </w:r>
      <w:r w:rsidRPr="008D53F7">
        <w:t xml:space="preserve">Working documents of definitions of model types and uncertainty types were also created so if new model types or uncertainty types were encountered during the audit, these could be added in a way clearly visible to all reviewers. </w:t>
      </w:r>
    </w:p>
    <w:p w14:paraId="7361FED0" w14:textId="77777777" w:rsidR="008354E8" w:rsidRPr="008D53F7" w:rsidRDefault="008354E8" w:rsidP="008354E8">
      <w:pPr>
        <w:rPr>
          <w:rFonts w:ascii="Times New Roman" w:eastAsia="Times New Roman" w:hAnsi="Times New Roman" w:cs="Times New Roman"/>
        </w:rPr>
      </w:pPr>
      <w:r w:rsidRPr="008D53F7">
        <w:rPr>
          <w:rFonts w:ascii="Times New Roman" w:eastAsia="Times New Roman" w:hAnsi="Times New Roman" w:cs="Times New Roman"/>
        </w:rPr>
        <w:t xml:space="preserve"> </w:t>
      </w:r>
    </w:p>
    <w:p w14:paraId="117962EF" w14:textId="77777777" w:rsidR="008354E8" w:rsidRPr="008D53F7" w:rsidRDefault="008354E8" w:rsidP="008354E8">
      <w:r w:rsidRPr="008D53F7">
        <w:t>The Health Sciences team chose to conduct a second round of reviewer training following the first to be sure of improved agreement.</w:t>
      </w:r>
    </w:p>
    <w:p w14:paraId="78D5178E" w14:textId="77777777" w:rsidR="008354E8" w:rsidRPr="008D53F7" w:rsidRDefault="008354E8" w:rsidP="008354E8">
      <w:pPr>
        <w:rPr>
          <w:rFonts w:ascii="Times New Roman" w:eastAsia="Times New Roman" w:hAnsi="Times New Roman" w:cs="Times New Roman"/>
        </w:rPr>
      </w:pPr>
      <w:r w:rsidRPr="008D53F7">
        <w:rPr>
          <w:rFonts w:ascii="Times New Roman" w:eastAsia="Times New Roman" w:hAnsi="Times New Roman" w:cs="Times New Roman"/>
        </w:rPr>
        <w:t xml:space="preserve"> </w:t>
      </w:r>
    </w:p>
    <w:p w14:paraId="21F58D49" w14:textId="77777777" w:rsidR="008354E8" w:rsidRPr="008D53F7" w:rsidRDefault="008354E8" w:rsidP="008354E8">
      <w:pPr>
        <w:rPr>
          <w:i/>
        </w:rPr>
      </w:pPr>
      <w:r w:rsidRPr="008D53F7">
        <w:rPr>
          <w:i/>
        </w:rPr>
        <w:t>Main audit phase:</w:t>
      </w:r>
    </w:p>
    <w:p w14:paraId="6439F62B" w14:textId="77777777" w:rsidR="008354E8" w:rsidRPr="008D53F7" w:rsidRDefault="008354E8" w:rsidP="008354E8">
      <w:pPr>
        <w:rPr>
          <w:i/>
        </w:rPr>
      </w:pPr>
      <w:r w:rsidRPr="008D53F7">
        <w:rPr>
          <w:i/>
        </w:rPr>
        <w:t xml:space="preserve"> </w:t>
      </w:r>
    </w:p>
    <w:p w14:paraId="1EA5C8DC" w14:textId="089A8A3D" w:rsidR="008354E8" w:rsidRPr="008D53F7" w:rsidRDefault="008354E8" w:rsidP="008354E8">
      <w:r w:rsidRPr="008D53F7">
        <w:t>The reviewers within each field audited their assigned papers using the data collection table and updated instructions.</w:t>
      </w:r>
      <w:r w:rsidR="00173395">
        <w:t xml:space="preserve"> Each reviewer audited as many of their assigned papers as they were able within their time constraints. </w:t>
      </w:r>
    </w:p>
    <w:p w14:paraId="59174F5A" w14:textId="77777777" w:rsidR="008354E8" w:rsidRPr="008D53F7" w:rsidRDefault="008354E8" w:rsidP="008354E8">
      <w:r w:rsidRPr="008D53F7">
        <w:t xml:space="preserve"> </w:t>
      </w:r>
    </w:p>
    <w:p w14:paraId="6E4C08B5" w14:textId="77777777" w:rsidR="008354E8" w:rsidRPr="008D53F7" w:rsidRDefault="008354E8" w:rsidP="008354E8">
      <w:r w:rsidRPr="008D53F7">
        <w:t>A protocol was in place to deal with papers that any reviewer found challenging, or if they did not feel confident that their coding was repeatable.</w:t>
      </w:r>
    </w:p>
    <w:p w14:paraId="75F6FFDC" w14:textId="77777777" w:rsidR="008354E8" w:rsidRPr="008D53F7" w:rsidRDefault="008354E8" w:rsidP="008354E8">
      <w:pPr>
        <w:rPr>
          <w:rFonts w:ascii="Times New Roman" w:eastAsia="Times New Roman" w:hAnsi="Times New Roman" w:cs="Times New Roman"/>
        </w:rPr>
      </w:pPr>
      <w:r w:rsidRPr="008D53F7">
        <w:rPr>
          <w:rFonts w:ascii="Times New Roman" w:eastAsia="Times New Roman" w:hAnsi="Times New Roman" w:cs="Times New Roman"/>
        </w:rPr>
        <w:t xml:space="preserve"> </w:t>
      </w:r>
    </w:p>
    <w:p w14:paraId="1FC2A1B8" w14:textId="77777777" w:rsidR="008354E8" w:rsidRPr="008D53F7" w:rsidRDefault="008354E8" w:rsidP="008354E8">
      <w:pPr>
        <w:rPr>
          <w:i/>
        </w:rPr>
      </w:pPr>
      <w:r w:rsidRPr="008D53F7">
        <w:rPr>
          <w:i/>
        </w:rPr>
        <w:t>Protocol for dealing with challenging papers (this was introduced in November 2020, in response to a need identified by the Ecology team and was implemented for all teams):</w:t>
      </w:r>
    </w:p>
    <w:p w14:paraId="08C2E0FF" w14:textId="77777777" w:rsidR="008354E8" w:rsidRPr="008D53F7" w:rsidRDefault="008354E8" w:rsidP="008354E8">
      <w:pPr>
        <w:rPr>
          <w:rFonts w:ascii="Times New Roman" w:eastAsia="Times New Roman" w:hAnsi="Times New Roman" w:cs="Times New Roman"/>
        </w:rPr>
      </w:pPr>
      <w:r w:rsidRPr="008D53F7">
        <w:rPr>
          <w:rFonts w:ascii="Times New Roman" w:eastAsia="Times New Roman" w:hAnsi="Times New Roman" w:cs="Times New Roman"/>
        </w:rPr>
        <w:t xml:space="preserve"> </w:t>
      </w:r>
    </w:p>
    <w:p w14:paraId="373E3F40" w14:textId="77777777" w:rsidR="008354E8" w:rsidRPr="008D53F7" w:rsidRDefault="008354E8" w:rsidP="008354E8">
      <w:r w:rsidRPr="008D53F7">
        <w:t xml:space="preserve">If during the audit any reviewer finds a paper challenging where they are unsure of answers, the following protocol will be initiated: </w:t>
      </w:r>
    </w:p>
    <w:p w14:paraId="6A0D3EF5" w14:textId="77777777" w:rsidR="008354E8" w:rsidRPr="008D53F7" w:rsidRDefault="008354E8" w:rsidP="008354E8">
      <w:pPr>
        <w:rPr>
          <w:rFonts w:ascii="Times New Roman" w:eastAsia="Times New Roman" w:hAnsi="Times New Roman" w:cs="Times New Roman"/>
        </w:rPr>
      </w:pPr>
    </w:p>
    <w:p w14:paraId="19352C80" w14:textId="77777777" w:rsidR="008354E8" w:rsidRPr="008D53F7" w:rsidRDefault="008354E8" w:rsidP="008354E8">
      <w:pPr>
        <w:numPr>
          <w:ilvl w:val="0"/>
          <w:numId w:val="8"/>
        </w:numPr>
        <w:suppressAutoHyphens w:val="0"/>
        <w:rPr>
          <w:rFonts w:ascii="Times New Roman" w:eastAsia="Times New Roman" w:hAnsi="Times New Roman" w:cs="Times New Roman"/>
        </w:rPr>
      </w:pPr>
      <w:r w:rsidRPr="008D53F7">
        <w:t xml:space="preserve">The reviewer will send the paper to the contact person for their </w:t>
      </w:r>
      <w:proofErr w:type="gramStart"/>
      <w:r w:rsidRPr="008D53F7">
        <w:t>team</w:t>
      </w:r>
      <w:proofErr w:type="gramEnd"/>
      <w:r w:rsidRPr="008D53F7">
        <w:t xml:space="preserve"> and it will be distributed to other members (min of one but up to three) of their field team to assess if they agree with the coding by the focal reviewer. </w:t>
      </w:r>
    </w:p>
    <w:p w14:paraId="27F8E8C4" w14:textId="77777777" w:rsidR="008354E8" w:rsidRPr="008D53F7" w:rsidRDefault="008354E8" w:rsidP="008354E8">
      <w:pPr>
        <w:numPr>
          <w:ilvl w:val="0"/>
          <w:numId w:val="8"/>
        </w:numPr>
        <w:suppressAutoHyphens w:val="0"/>
        <w:rPr>
          <w:rFonts w:ascii="Times New Roman" w:eastAsia="Times New Roman" w:hAnsi="Times New Roman" w:cs="Times New Roman"/>
        </w:rPr>
      </w:pPr>
      <w:r w:rsidRPr="008D53F7">
        <w:t>The code agreement can either be assessed by independently coding the challenging paper</w:t>
      </w:r>
      <w:r>
        <w:t xml:space="preserve"> </w:t>
      </w:r>
      <w:r w:rsidRPr="008D53F7">
        <w:t>or assessing the original reviewer’s coding.</w:t>
      </w:r>
    </w:p>
    <w:p w14:paraId="13067EDF" w14:textId="77777777" w:rsidR="008354E8" w:rsidRPr="008D53F7" w:rsidRDefault="008354E8" w:rsidP="008354E8">
      <w:pPr>
        <w:numPr>
          <w:ilvl w:val="0"/>
          <w:numId w:val="8"/>
        </w:numPr>
        <w:suppressAutoHyphens w:val="0"/>
        <w:rPr>
          <w:rFonts w:ascii="Times New Roman" w:eastAsia="Times New Roman" w:hAnsi="Times New Roman" w:cs="Times New Roman"/>
        </w:rPr>
      </w:pPr>
      <w:r w:rsidRPr="008D53F7">
        <w:t xml:space="preserve">Both/all (if &gt;2) reviewers of each paper will meet after the audits are completed to reach a consensus on how to code these challenging papers. Agreement between all reviewers of each paper will be </w:t>
      </w:r>
      <w:r w:rsidRPr="008D53F7">
        <w:lastRenderedPageBreak/>
        <w:t xml:space="preserve">assessed and if no clear consensus can be reached, all team members will discuss until an agreement is reached. </w:t>
      </w:r>
    </w:p>
    <w:p w14:paraId="7B3DF86A" w14:textId="6FB57990" w:rsidR="008354E8" w:rsidRPr="008D53F7" w:rsidRDefault="008354E8" w:rsidP="008354E8">
      <w:pPr>
        <w:numPr>
          <w:ilvl w:val="0"/>
          <w:numId w:val="8"/>
        </w:numPr>
        <w:suppressAutoHyphens w:val="0"/>
        <w:rPr>
          <w:rFonts w:ascii="Times New Roman" w:eastAsia="Times New Roman" w:hAnsi="Times New Roman" w:cs="Times New Roman"/>
        </w:rPr>
      </w:pPr>
      <w:r w:rsidRPr="008D53F7">
        <w:t>If paper is too challenging for anyone - removed from analysis as not confident of results</w:t>
      </w:r>
      <w:r w:rsidR="00DA52B2">
        <w:t>.</w:t>
      </w:r>
    </w:p>
    <w:p w14:paraId="136FFEAF" w14:textId="77777777" w:rsidR="008354E8" w:rsidRPr="008D53F7" w:rsidRDefault="008354E8" w:rsidP="008354E8">
      <w:pPr>
        <w:rPr>
          <w:rFonts w:ascii="Times New Roman" w:eastAsia="Times New Roman" w:hAnsi="Times New Roman" w:cs="Times New Roman"/>
        </w:rPr>
      </w:pPr>
      <w:r w:rsidRPr="008D53F7">
        <w:rPr>
          <w:rFonts w:ascii="Times New Roman" w:eastAsia="Times New Roman" w:hAnsi="Times New Roman" w:cs="Times New Roman"/>
        </w:rPr>
        <w:t xml:space="preserve"> </w:t>
      </w:r>
    </w:p>
    <w:p w14:paraId="4A8A42EF" w14:textId="77777777" w:rsidR="008354E8" w:rsidRPr="00BE43C4" w:rsidRDefault="008354E8" w:rsidP="008354E8">
      <w:r w:rsidRPr="00BE43C4">
        <w:t xml:space="preserve">A summary meeting was also held for each team to check all members had audited consistently and still agreed on the interpretation of the audit framework. If any differences in interpretation were highlighted, the project leader decided on the correct interpretation and audits were rechecked following the discussion, updated, and resubmitted to the project leader.  </w:t>
      </w:r>
    </w:p>
    <w:p w14:paraId="3536AFFA" w14:textId="77777777" w:rsidR="008354E8" w:rsidRPr="00BE43C4" w:rsidRDefault="008354E8" w:rsidP="008354E8">
      <w:r w:rsidRPr="00BE43C4">
        <w:t xml:space="preserve"> </w:t>
      </w:r>
    </w:p>
    <w:p w14:paraId="0E09EBE8" w14:textId="77777777" w:rsidR="008354E8" w:rsidRPr="00BE43C4" w:rsidRDefault="008354E8" w:rsidP="008354E8">
      <w:r w:rsidRPr="00BE43C4">
        <w:t xml:space="preserve">All </w:t>
      </w:r>
      <w:proofErr w:type="gramStart"/>
      <w:r w:rsidRPr="00BE43C4">
        <w:t>final results</w:t>
      </w:r>
      <w:proofErr w:type="gramEnd"/>
      <w:r w:rsidRPr="00BE43C4">
        <w:t xml:space="preserve"> were sent to the project leader following these field specific summary meetings.</w:t>
      </w:r>
    </w:p>
    <w:p w14:paraId="2DABCDD8" w14:textId="77777777" w:rsidR="008354E8" w:rsidRPr="00630ED9" w:rsidRDefault="008354E8" w:rsidP="008354E8">
      <w:pPr>
        <w:rPr>
          <w:rFonts w:ascii="Times New Roman" w:eastAsia="Times New Roman" w:hAnsi="Times New Roman" w:cs="Times New Roman"/>
          <w:sz w:val="20"/>
          <w:szCs w:val="20"/>
        </w:rPr>
      </w:pPr>
      <w:r w:rsidRPr="00492A76">
        <w:rPr>
          <w:rFonts w:ascii="Times New Roman" w:eastAsia="Times New Roman" w:hAnsi="Times New Roman" w:cs="Times New Roman"/>
          <w:sz w:val="20"/>
          <w:szCs w:val="20"/>
        </w:rPr>
        <w:t xml:space="preserve"> </w:t>
      </w:r>
    </w:p>
    <w:p w14:paraId="3304918A" w14:textId="77777777" w:rsidR="008354E8" w:rsidRPr="00BE43C4" w:rsidRDefault="008354E8" w:rsidP="008354E8">
      <w:pPr>
        <w:rPr>
          <w:rFonts w:ascii="Times New Roman" w:eastAsia="Times New Roman" w:hAnsi="Times New Roman" w:cs="Times New Roman"/>
          <w:i/>
          <w:iCs/>
          <w:sz w:val="24"/>
          <w:szCs w:val="24"/>
        </w:rPr>
      </w:pPr>
      <w:r w:rsidRPr="00BE43C4">
        <w:rPr>
          <w:b/>
          <w:bCs/>
          <w:i/>
          <w:iCs/>
          <w:color w:val="000000"/>
          <w:sz w:val="24"/>
          <w:szCs w:val="24"/>
          <w:lang w:val="en-GB"/>
        </w:rPr>
        <w:t>Detailed reviewer instructions</w:t>
      </w:r>
    </w:p>
    <w:p w14:paraId="51502C34" w14:textId="77777777" w:rsidR="008354E8" w:rsidRDefault="008354E8" w:rsidP="008354E8"/>
    <w:p w14:paraId="0BBCB543" w14:textId="77777777" w:rsidR="008354E8" w:rsidRDefault="008354E8" w:rsidP="008354E8">
      <w:r>
        <w:t xml:space="preserve">Follow the exclusion criteria and challenging papers protocol (these are detailed above). </w:t>
      </w:r>
    </w:p>
    <w:p w14:paraId="6182942B" w14:textId="77777777" w:rsidR="008354E8" w:rsidRPr="00BE43C4" w:rsidRDefault="008354E8" w:rsidP="008354E8"/>
    <w:p w14:paraId="697B24BD" w14:textId="77777777" w:rsidR="008354E8" w:rsidRPr="00BE43C4" w:rsidRDefault="008354E8" w:rsidP="008354E8">
      <w:pPr>
        <w:pStyle w:val="NormalWeb"/>
        <w:spacing w:before="0" w:beforeAutospacing="0" w:after="0" w:afterAutospacing="0"/>
        <w:rPr>
          <w:sz w:val="22"/>
          <w:szCs w:val="22"/>
        </w:rPr>
      </w:pPr>
      <w:r w:rsidRPr="00BE43C4">
        <w:rPr>
          <w:rFonts w:ascii="Arial" w:hAnsi="Arial" w:cs="Arial"/>
          <w:color w:val="000000"/>
          <w:sz w:val="22"/>
          <w:szCs w:val="22"/>
        </w:rPr>
        <w:t>Table of which model to choose per field. This is slightly different for each field with the aim to typically choose the ‘main’ model of a paper in a consistent and repeatable manner based on standard format of papers in each field.</w:t>
      </w:r>
    </w:p>
    <w:p w14:paraId="343D4ED0" w14:textId="77777777" w:rsidR="008354E8" w:rsidRPr="00BE43C4" w:rsidRDefault="008354E8" w:rsidP="008354E8"/>
    <w:p w14:paraId="2F054779" w14:textId="020C7F5C" w:rsidR="008354E8" w:rsidRPr="00BE43C4" w:rsidRDefault="008354E8" w:rsidP="008354E8">
      <w:pPr>
        <w:pStyle w:val="NormalWeb"/>
        <w:spacing w:before="0" w:beforeAutospacing="0" w:after="0" w:afterAutospacing="0"/>
        <w:rPr>
          <w:sz w:val="22"/>
          <w:szCs w:val="22"/>
        </w:rPr>
      </w:pPr>
      <w:r w:rsidRPr="00BE43C4">
        <w:rPr>
          <w:rFonts w:ascii="Arial" w:hAnsi="Arial" w:cs="Arial"/>
          <w:color w:val="000000"/>
          <w:sz w:val="22"/>
          <w:szCs w:val="22"/>
        </w:rPr>
        <w:t>A model is</w:t>
      </w:r>
      <w:r w:rsidRPr="00BE43C4">
        <w:rPr>
          <w:rFonts w:ascii="Arial" w:hAnsi="Arial" w:cs="Arial"/>
          <w:color w:val="000000"/>
          <w:sz w:val="22"/>
          <w:szCs w:val="22"/>
          <w:lang w:val="en-GB"/>
        </w:rPr>
        <w:t xml:space="preserve"> defined here as</w:t>
      </w:r>
      <w:r w:rsidRPr="00BE43C4">
        <w:rPr>
          <w:rFonts w:ascii="Arial" w:hAnsi="Arial" w:cs="Arial"/>
          <w:color w:val="000000"/>
          <w:sz w:val="22"/>
          <w:szCs w:val="22"/>
        </w:rPr>
        <w:t xml:space="preserve"> something that draws inference beyond the sample data</w:t>
      </w:r>
      <w:r>
        <w:rPr>
          <w:rFonts w:ascii="Arial" w:hAnsi="Arial" w:cs="Arial"/>
          <w:color w:val="000000"/>
          <w:sz w:val="22"/>
          <w:szCs w:val="22"/>
          <w:lang w:val="en-GB"/>
        </w:rPr>
        <w:t xml:space="preserve"> using quantitative methods</w:t>
      </w:r>
      <w:r w:rsidRPr="00BE43C4">
        <w:rPr>
          <w:rFonts w:ascii="Arial" w:hAnsi="Arial" w:cs="Arial"/>
          <w:color w:val="000000"/>
          <w:sz w:val="22"/>
          <w:szCs w:val="22"/>
        </w:rPr>
        <w:t xml:space="preserve"> (this will include theoretical models but exclude any descriptive statistics) and is explicit in the methods or models part of the paper. </w:t>
      </w:r>
    </w:p>
    <w:p w14:paraId="7893B27D" w14:textId="77777777" w:rsidR="008354E8" w:rsidRPr="00492A76" w:rsidRDefault="008354E8" w:rsidP="008354E8">
      <w:pPr>
        <w:rPr>
          <w:sz w:val="20"/>
          <w:szCs w:val="20"/>
        </w:rPr>
      </w:pPr>
    </w:p>
    <w:p w14:paraId="553354D4" w14:textId="77777777" w:rsidR="008354E8" w:rsidRDefault="008354E8" w:rsidP="008354E8">
      <w:pPr>
        <w:pStyle w:val="Caption"/>
        <w:keepNext/>
      </w:pPr>
      <w:r>
        <w:rPr>
          <w:b/>
          <w:bCs/>
          <w:sz w:val="20"/>
          <w:szCs w:val="20"/>
          <w:lang w:val="en-GB"/>
        </w:rPr>
        <w:t>Table 7</w:t>
      </w:r>
      <w:r w:rsidRPr="000828D9">
        <w:rPr>
          <w:b/>
          <w:bCs/>
          <w:sz w:val="20"/>
          <w:szCs w:val="20"/>
          <w:lang w:val="en-GB"/>
        </w:rPr>
        <w:t xml:space="preserve">: </w:t>
      </w:r>
      <w:r>
        <w:rPr>
          <w:b/>
          <w:bCs/>
          <w:sz w:val="20"/>
          <w:szCs w:val="20"/>
          <w:lang w:val="en-GB"/>
        </w:rPr>
        <w:t>Details of which model to be assessed in multi-model papers in each field</w:t>
      </w:r>
    </w:p>
    <w:tbl>
      <w:tblPr>
        <w:tblW w:w="5000" w:type="pct"/>
        <w:tblCellMar>
          <w:top w:w="15" w:type="dxa"/>
          <w:left w:w="15" w:type="dxa"/>
          <w:bottom w:w="15" w:type="dxa"/>
          <w:right w:w="15" w:type="dxa"/>
        </w:tblCellMar>
        <w:tblLook w:val="04A0" w:firstRow="1" w:lastRow="0" w:firstColumn="1" w:lastColumn="0" w:noHBand="0" w:noVBand="1"/>
      </w:tblPr>
      <w:tblGrid>
        <w:gridCol w:w="1921"/>
        <w:gridCol w:w="4691"/>
        <w:gridCol w:w="3906"/>
      </w:tblGrid>
      <w:tr w:rsidR="008354E8" w:rsidRPr="00492A76" w14:paraId="4DDC4C6C" w14:textId="77777777" w:rsidTr="00C21C70">
        <w:tc>
          <w:tcPr>
            <w:tcW w:w="9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A26C1" w14:textId="77777777" w:rsidR="008354E8" w:rsidRPr="00492A76" w:rsidRDefault="008354E8" w:rsidP="00C21C70">
            <w:pPr>
              <w:pStyle w:val="NormalWeb"/>
              <w:spacing w:before="0" w:beforeAutospacing="0" w:after="0" w:afterAutospacing="0"/>
              <w:rPr>
                <w:sz w:val="20"/>
                <w:szCs w:val="20"/>
              </w:rPr>
            </w:pPr>
            <w:r w:rsidRPr="00492A76">
              <w:rPr>
                <w:rFonts w:ascii="Arial" w:hAnsi="Arial" w:cs="Arial"/>
                <w:b/>
                <w:bCs/>
                <w:color w:val="000000"/>
                <w:sz w:val="20"/>
                <w:szCs w:val="20"/>
              </w:rPr>
              <w:t>Field</w:t>
            </w:r>
          </w:p>
        </w:tc>
        <w:tc>
          <w:tcPr>
            <w:tcW w:w="22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D7682" w14:textId="77777777" w:rsidR="008354E8" w:rsidRPr="00492A76" w:rsidRDefault="008354E8" w:rsidP="00C21C70">
            <w:pPr>
              <w:pStyle w:val="NormalWeb"/>
              <w:spacing w:before="0" w:beforeAutospacing="0" w:after="0" w:afterAutospacing="0"/>
              <w:rPr>
                <w:sz w:val="20"/>
                <w:szCs w:val="20"/>
              </w:rPr>
            </w:pPr>
            <w:r w:rsidRPr="00492A76">
              <w:rPr>
                <w:rFonts w:ascii="Arial" w:hAnsi="Arial" w:cs="Arial"/>
                <w:b/>
                <w:bCs/>
                <w:color w:val="000000"/>
                <w:sz w:val="20"/>
                <w:szCs w:val="20"/>
              </w:rPr>
              <w:t>Which model?</w:t>
            </w:r>
          </w:p>
        </w:tc>
        <w:tc>
          <w:tcPr>
            <w:tcW w:w="18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81C23" w14:textId="77777777" w:rsidR="008354E8" w:rsidRPr="00492A76" w:rsidRDefault="008354E8" w:rsidP="00C21C70">
            <w:pPr>
              <w:pStyle w:val="NormalWeb"/>
              <w:spacing w:before="0" w:beforeAutospacing="0" w:after="0" w:afterAutospacing="0"/>
              <w:rPr>
                <w:sz w:val="20"/>
                <w:szCs w:val="20"/>
              </w:rPr>
            </w:pPr>
            <w:r w:rsidRPr="00492A76">
              <w:rPr>
                <w:rFonts w:ascii="Arial" w:hAnsi="Arial" w:cs="Arial"/>
                <w:b/>
                <w:bCs/>
                <w:color w:val="000000"/>
                <w:sz w:val="20"/>
                <w:szCs w:val="20"/>
              </w:rPr>
              <w:t>Comments</w:t>
            </w:r>
          </w:p>
        </w:tc>
      </w:tr>
      <w:tr w:rsidR="008354E8" w:rsidRPr="00492A76" w14:paraId="3175BE60" w14:textId="77777777" w:rsidTr="00C21C70">
        <w:tc>
          <w:tcPr>
            <w:tcW w:w="9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C9FAE" w14:textId="77777777" w:rsidR="008354E8" w:rsidRPr="00492A76" w:rsidRDefault="008354E8" w:rsidP="00C21C70">
            <w:pPr>
              <w:pStyle w:val="NormalWeb"/>
              <w:spacing w:before="0" w:beforeAutospacing="0" w:after="0" w:afterAutospacing="0"/>
              <w:rPr>
                <w:sz w:val="20"/>
                <w:szCs w:val="20"/>
              </w:rPr>
            </w:pPr>
            <w:r w:rsidRPr="00492A76">
              <w:rPr>
                <w:rFonts w:ascii="Arial" w:hAnsi="Arial" w:cs="Arial"/>
                <w:color w:val="000000"/>
                <w:sz w:val="20"/>
                <w:szCs w:val="20"/>
              </w:rPr>
              <w:t>Ecology</w:t>
            </w:r>
          </w:p>
        </w:tc>
        <w:tc>
          <w:tcPr>
            <w:tcW w:w="22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6A4E3" w14:textId="77777777" w:rsidR="008354E8" w:rsidRPr="00492A76" w:rsidRDefault="008354E8" w:rsidP="00C21C70">
            <w:pPr>
              <w:pStyle w:val="NormalWeb"/>
              <w:spacing w:before="0" w:beforeAutospacing="0" w:after="0" w:afterAutospacing="0"/>
              <w:rPr>
                <w:sz w:val="20"/>
                <w:szCs w:val="20"/>
              </w:rPr>
            </w:pPr>
            <w:r w:rsidRPr="00492A76">
              <w:rPr>
                <w:rFonts w:ascii="Arial" w:hAnsi="Arial" w:cs="Arial"/>
                <w:color w:val="000000"/>
                <w:sz w:val="20"/>
                <w:szCs w:val="20"/>
              </w:rPr>
              <w:t>Last model in methodology</w:t>
            </w:r>
          </w:p>
        </w:tc>
        <w:tc>
          <w:tcPr>
            <w:tcW w:w="18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067A9" w14:textId="77777777" w:rsidR="008354E8" w:rsidRPr="00492A76" w:rsidRDefault="008354E8" w:rsidP="00C21C70">
            <w:pPr>
              <w:rPr>
                <w:sz w:val="20"/>
                <w:szCs w:val="20"/>
              </w:rPr>
            </w:pPr>
          </w:p>
        </w:tc>
      </w:tr>
      <w:tr w:rsidR="008354E8" w:rsidRPr="00492A76" w14:paraId="44E1F293" w14:textId="77777777" w:rsidTr="00C21C70">
        <w:tc>
          <w:tcPr>
            <w:tcW w:w="9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1525A5" w14:textId="77777777" w:rsidR="008354E8" w:rsidRPr="00492A76" w:rsidRDefault="008354E8" w:rsidP="00C21C70">
            <w:pPr>
              <w:pStyle w:val="NormalWeb"/>
              <w:spacing w:before="0" w:beforeAutospacing="0" w:after="0" w:afterAutospacing="0"/>
              <w:rPr>
                <w:sz w:val="20"/>
                <w:szCs w:val="20"/>
              </w:rPr>
            </w:pPr>
            <w:r w:rsidRPr="00492A76">
              <w:rPr>
                <w:rFonts w:ascii="Arial" w:hAnsi="Arial" w:cs="Arial"/>
                <w:color w:val="000000"/>
                <w:sz w:val="20"/>
                <w:szCs w:val="20"/>
              </w:rPr>
              <w:t>Neuroscience</w:t>
            </w:r>
          </w:p>
        </w:tc>
        <w:tc>
          <w:tcPr>
            <w:tcW w:w="22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51EA54" w14:textId="77777777" w:rsidR="008354E8" w:rsidRPr="00492A76" w:rsidRDefault="008354E8" w:rsidP="00C21C70">
            <w:pPr>
              <w:pStyle w:val="NormalWeb"/>
              <w:spacing w:before="0" w:beforeAutospacing="0" w:after="0" w:afterAutospacing="0"/>
              <w:rPr>
                <w:sz w:val="20"/>
                <w:szCs w:val="20"/>
              </w:rPr>
            </w:pPr>
            <w:r w:rsidRPr="00492A76">
              <w:rPr>
                <w:rFonts w:ascii="Arial" w:hAnsi="Arial" w:cs="Arial"/>
                <w:color w:val="000000"/>
                <w:sz w:val="20"/>
                <w:szCs w:val="20"/>
              </w:rPr>
              <w:t>First model in methodology</w:t>
            </w:r>
          </w:p>
        </w:tc>
        <w:tc>
          <w:tcPr>
            <w:tcW w:w="18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78BFC" w14:textId="77777777" w:rsidR="008354E8" w:rsidRPr="00492A76" w:rsidRDefault="008354E8" w:rsidP="00C21C70">
            <w:pPr>
              <w:rPr>
                <w:sz w:val="20"/>
                <w:szCs w:val="20"/>
              </w:rPr>
            </w:pPr>
          </w:p>
        </w:tc>
      </w:tr>
      <w:tr w:rsidR="008354E8" w:rsidRPr="00492A76" w14:paraId="69A3E09F" w14:textId="77777777" w:rsidTr="00C21C70">
        <w:tc>
          <w:tcPr>
            <w:tcW w:w="9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3DBCD" w14:textId="77777777" w:rsidR="008354E8" w:rsidRPr="00492A76" w:rsidRDefault="008354E8" w:rsidP="00C21C70">
            <w:pPr>
              <w:pStyle w:val="NormalWeb"/>
              <w:spacing w:before="0" w:beforeAutospacing="0" w:after="0" w:afterAutospacing="0"/>
              <w:rPr>
                <w:sz w:val="20"/>
                <w:szCs w:val="20"/>
              </w:rPr>
            </w:pPr>
            <w:r w:rsidRPr="00492A76">
              <w:rPr>
                <w:rFonts w:ascii="Arial" w:hAnsi="Arial" w:cs="Arial"/>
                <w:color w:val="000000"/>
                <w:sz w:val="20"/>
                <w:szCs w:val="20"/>
              </w:rPr>
              <w:t>Politics</w:t>
            </w:r>
          </w:p>
        </w:tc>
        <w:tc>
          <w:tcPr>
            <w:tcW w:w="22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B41E9E" w14:textId="77777777" w:rsidR="008354E8" w:rsidRPr="00492A76" w:rsidRDefault="008354E8" w:rsidP="00C21C70">
            <w:pPr>
              <w:pStyle w:val="NormalWeb"/>
              <w:spacing w:before="0" w:beforeAutospacing="0" w:after="0" w:afterAutospacing="0"/>
              <w:rPr>
                <w:sz w:val="20"/>
                <w:szCs w:val="20"/>
              </w:rPr>
            </w:pPr>
            <w:r w:rsidRPr="00492A76">
              <w:rPr>
                <w:rFonts w:ascii="Arial" w:hAnsi="Arial" w:cs="Arial"/>
                <w:color w:val="000000"/>
                <w:sz w:val="20"/>
                <w:szCs w:val="20"/>
              </w:rPr>
              <w:t>First model in methodology</w:t>
            </w:r>
          </w:p>
        </w:tc>
        <w:tc>
          <w:tcPr>
            <w:tcW w:w="18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075064" w14:textId="77777777" w:rsidR="008354E8" w:rsidRPr="00492A76" w:rsidRDefault="008354E8" w:rsidP="00C21C70">
            <w:pPr>
              <w:rPr>
                <w:sz w:val="20"/>
                <w:szCs w:val="20"/>
              </w:rPr>
            </w:pPr>
          </w:p>
        </w:tc>
      </w:tr>
      <w:tr w:rsidR="008354E8" w:rsidRPr="00492A76" w14:paraId="492043A6" w14:textId="77777777" w:rsidTr="00C21C70">
        <w:tc>
          <w:tcPr>
            <w:tcW w:w="9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D1ADD" w14:textId="77777777" w:rsidR="008354E8" w:rsidRPr="00492A76" w:rsidRDefault="008354E8" w:rsidP="00C21C70">
            <w:pPr>
              <w:pStyle w:val="NormalWeb"/>
              <w:spacing w:before="0" w:beforeAutospacing="0" w:after="0" w:afterAutospacing="0"/>
              <w:rPr>
                <w:sz w:val="20"/>
                <w:szCs w:val="20"/>
              </w:rPr>
            </w:pPr>
            <w:r w:rsidRPr="00492A76">
              <w:rPr>
                <w:rFonts w:ascii="Arial" w:hAnsi="Arial" w:cs="Arial"/>
                <w:color w:val="000000"/>
                <w:sz w:val="20"/>
                <w:szCs w:val="20"/>
              </w:rPr>
              <w:t>Climate Science</w:t>
            </w:r>
          </w:p>
        </w:tc>
        <w:tc>
          <w:tcPr>
            <w:tcW w:w="22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C67B9" w14:textId="77777777" w:rsidR="008354E8" w:rsidRPr="00492A76" w:rsidRDefault="008354E8" w:rsidP="00C21C70">
            <w:pPr>
              <w:pStyle w:val="NormalWeb"/>
              <w:spacing w:before="0" w:beforeAutospacing="0" w:after="0" w:afterAutospacing="0"/>
              <w:rPr>
                <w:sz w:val="20"/>
                <w:szCs w:val="20"/>
              </w:rPr>
            </w:pPr>
            <w:r w:rsidRPr="00492A76">
              <w:rPr>
                <w:rFonts w:ascii="Arial" w:hAnsi="Arial" w:cs="Arial"/>
                <w:color w:val="000000"/>
                <w:sz w:val="20"/>
                <w:szCs w:val="20"/>
              </w:rPr>
              <w:t>First model mentioned in abstract</w:t>
            </w:r>
          </w:p>
        </w:tc>
        <w:tc>
          <w:tcPr>
            <w:tcW w:w="18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42370" w14:textId="77777777" w:rsidR="008354E8" w:rsidRPr="00492A76" w:rsidRDefault="008354E8" w:rsidP="00C21C70">
            <w:pPr>
              <w:pStyle w:val="NormalWeb"/>
              <w:spacing w:before="0" w:beforeAutospacing="0" w:after="0" w:afterAutospacing="0"/>
              <w:rPr>
                <w:sz w:val="20"/>
                <w:szCs w:val="20"/>
              </w:rPr>
            </w:pPr>
            <w:r w:rsidRPr="00492A76">
              <w:rPr>
                <w:rFonts w:ascii="Arial" w:hAnsi="Arial" w:cs="Arial"/>
                <w:color w:val="000000"/>
                <w:sz w:val="20"/>
                <w:szCs w:val="20"/>
              </w:rPr>
              <w:t xml:space="preserve">Must also run analyses in the focal paper </w:t>
            </w:r>
            <w:proofErr w:type="gramStart"/>
            <w:r w:rsidRPr="00492A76">
              <w:rPr>
                <w:rFonts w:ascii="Arial" w:hAnsi="Arial" w:cs="Arial"/>
                <w:color w:val="000000"/>
                <w:sz w:val="20"/>
                <w:szCs w:val="20"/>
              </w:rPr>
              <w:t>i.e.</w:t>
            </w:r>
            <w:proofErr w:type="gramEnd"/>
            <w:r w:rsidRPr="00492A76">
              <w:rPr>
                <w:rFonts w:ascii="Arial" w:hAnsi="Arial" w:cs="Arial"/>
                <w:color w:val="000000"/>
                <w:sz w:val="20"/>
                <w:szCs w:val="20"/>
              </w:rPr>
              <w:t xml:space="preserve"> not only use existing model output. If the first model does not meet </w:t>
            </w:r>
            <w:proofErr w:type="gramStart"/>
            <w:r w:rsidRPr="00492A76">
              <w:rPr>
                <w:rFonts w:ascii="Arial" w:hAnsi="Arial" w:cs="Arial"/>
                <w:color w:val="000000"/>
                <w:sz w:val="20"/>
                <w:szCs w:val="20"/>
              </w:rPr>
              <w:t>this criteria</w:t>
            </w:r>
            <w:proofErr w:type="gramEnd"/>
            <w:r w:rsidRPr="00492A76">
              <w:rPr>
                <w:rFonts w:ascii="Arial" w:hAnsi="Arial" w:cs="Arial"/>
                <w:color w:val="000000"/>
                <w:sz w:val="20"/>
                <w:szCs w:val="20"/>
              </w:rPr>
              <w:t xml:space="preserve"> - keep going through abstract in order until one does.</w:t>
            </w:r>
          </w:p>
        </w:tc>
      </w:tr>
      <w:tr w:rsidR="008354E8" w:rsidRPr="00492A76" w14:paraId="64AFEF09" w14:textId="77777777" w:rsidTr="00C21C70">
        <w:tc>
          <w:tcPr>
            <w:tcW w:w="9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D0077A" w14:textId="77777777" w:rsidR="008354E8" w:rsidRPr="00492A76" w:rsidRDefault="008354E8" w:rsidP="00C21C70">
            <w:pPr>
              <w:pStyle w:val="NormalWeb"/>
              <w:spacing w:before="0" w:beforeAutospacing="0" w:after="0" w:afterAutospacing="0"/>
              <w:rPr>
                <w:sz w:val="20"/>
                <w:szCs w:val="20"/>
              </w:rPr>
            </w:pPr>
            <w:r w:rsidRPr="00492A76">
              <w:rPr>
                <w:rFonts w:ascii="Arial" w:hAnsi="Arial" w:cs="Arial"/>
                <w:color w:val="000000"/>
                <w:sz w:val="20"/>
                <w:szCs w:val="20"/>
              </w:rPr>
              <w:t>Oceanography</w:t>
            </w:r>
          </w:p>
        </w:tc>
        <w:tc>
          <w:tcPr>
            <w:tcW w:w="22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BBACC" w14:textId="77777777" w:rsidR="008354E8" w:rsidRPr="00492A76" w:rsidRDefault="008354E8" w:rsidP="00C21C70">
            <w:pPr>
              <w:pStyle w:val="NormalWeb"/>
              <w:spacing w:before="0" w:beforeAutospacing="0" w:after="0" w:afterAutospacing="0"/>
              <w:rPr>
                <w:sz w:val="20"/>
                <w:szCs w:val="20"/>
              </w:rPr>
            </w:pPr>
            <w:r w:rsidRPr="00492A76">
              <w:rPr>
                <w:rFonts w:ascii="Arial" w:hAnsi="Arial" w:cs="Arial"/>
                <w:color w:val="000000"/>
                <w:sz w:val="20"/>
                <w:szCs w:val="20"/>
              </w:rPr>
              <w:t>Last model in methodology</w:t>
            </w:r>
          </w:p>
        </w:tc>
        <w:tc>
          <w:tcPr>
            <w:tcW w:w="18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9F81A" w14:textId="77777777" w:rsidR="008354E8" w:rsidRPr="00492A76" w:rsidRDefault="008354E8" w:rsidP="00C21C70">
            <w:pPr>
              <w:rPr>
                <w:sz w:val="20"/>
                <w:szCs w:val="20"/>
              </w:rPr>
            </w:pPr>
          </w:p>
        </w:tc>
      </w:tr>
      <w:tr w:rsidR="008354E8" w:rsidRPr="00492A76" w14:paraId="2E4C2045" w14:textId="77777777" w:rsidTr="00C21C70">
        <w:tc>
          <w:tcPr>
            <w:tcW w:w="9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721432" w14:textId="77777777" w:rsidR="008354E8" w:rsidRPr="00492A76" w:rsidRDefault="008354E8" w:rsidP="00C21C70">
            <w:pPr>
              <w:pStyle w:val="NormalWeb"/>
              <w:spacing w:before="0" w:beforeAutospacing="0" w:after="0" w:afterAutospacing="0"/>
              <w:rPr>
                <w:sz w:val="20"/>
                <w:szCs w:val="20"/>
              </w:rPr>
            </w:pPr>
            <w:r w:rsidRPr="00492A76">
              <w:rPr>
                <w:rFonts w:ascii="Arial" w:hAnsi="Arial" w:cs="Arial"/>
                <w:color w:val="000000"/>
                <w:sz w:val="20"/>
                <w:szCs w:val="20"/>
              </w:rPr>
              <w:t>Evolution</w:t>
            </w:r>
          </w:p>
        </w:tc>
        <w:tc>
          <w:tcPr>
            <w:tcW w:w="22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7D9988" w14:textId="77777777" w:rsidR="008354E8" w:rsidRPr="00492A76" w:rsidRDefault="008354E8" w:rsidP="00C21C70">
            <w:pPr>
              <w:pStyle w:val="NormalWeb"/>
              <w:spacing w:before="0" w:beforeAutospacing="0" w:after="0" w:afterAutospacing="0"/>
              <w:rPr>
                <w:sz w:val="20"/>
                <w:szCs w:val="20"/>
              </w:rPr>
            </w:pPr>
            <w:r w:rsidRPr="00492A76">
              <w:rPr>
                <w:rFonts w:ascii="Arial" w:hAnsi="Arial" w:cs="Arial"/>
                <w:color w:val="000000"/>
                <w:sz w:val="20"/>
                <w:szCs w:val="20"/>
              </w:rPr>
              <w:t>Last model in methodology</w:t>
            </w:r>
          </w:p>
        </w:tc>
        <w:tc>
          <w:tcPr>
            <w:tcW w:w="18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77C84E" w14:textId="77777777" w:rsidR="008354E8" w:rsidRPr="00492A76" w:rsidRDefault="008354E8" w:rsidP="00C21C70">
            <w:pPr>
              <w:rPr>
                <w:sz w:val="20"/>
                <w:szCs w:val="20"/>
              </w:rPr>
            </w:pPr>
          </w:p>
        </w:tc>
      </w:tr>
      <w:tr w:rsidR="008354E8" w:rsidRPr="00492A76" w14:paraId="78B04F3E" w14:textId="77777777" w:rsidTr="00C21C70">
        <w:tc>
          <w:tcPr>
            <w:tcW w:w="9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7EB8EE" w14:textId="77777777" w:rsidR="008354E8" w:rsidRPr="00492A76" w:rsidRDefault="008354E8" w:rsidP="00C21C70">
            <w:pPr>
              <w:pStyle w:val="NormalWeb"/>
              <w:spacing w:before="0" w:beforeAutospacing="0" w:after="0" w:afterAutospacing="0"/>
              <w:rPr>
                <w:sz w:val="20"/>
                <w:szCs w:val="20"/>
              </w:rPr>
            </w:pPr>
            <w:r w:rsidRPr="00492A76">
              <w:rPr>
                <w:rFonts w:ascii="Arial" w:hAnsi="Arial" w:cs="Arial"/>
                <w:color w:val="000000"/>
                <w:sz w:val="20"/>
                <w:szCs w:val="20"/>
              </w:rPr>
              <w:t>Geography</w:t>
            </w:r>
          </w:p>
        </w:tc>
        <w:tc>
          <w:tcPr>
            <w:tcW w:w="22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94F56" w14:textId="77777777" w:rsidR="008354E8" w:rsidRPr="00492A76" w:rsidRDefault="008354E8" w:rsidP="00C21C70">
            <w:pPr>
              <w:pStyle w:val="NormalWeb"/>
              <w:spacing w:before="0" w:beforeAutospacing="0" w:after="0" w:afterAutospacing="0"/>
              <w:rPr>
                <w:sz w:val="20"/>
                <w:szCs w:val="20"/>
              </w:rPr>
            </w:pPr>
            <w:r w:rsidRPr="00492A76">
              <w:rPr>
                <w:rFonts w:ascii="Arial" w:hAnsi="Arial" w:cs="Arial"/>
                <w:color w:val="000000"/>
                <w:sz w:val="20"/>
                <w:szCs w:val="20"/>
              </w:rPr>
              <w:t>Last model in methodology</w:t>
            </w:r>
          </w:p>
        </w:tc>
        <w:tc>
          <w:tcPr>
            <w:tcW w:w="18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57E05" w14:textId="77777777" w:rsidR="008354E8" w:rsidRPr="00492A76" w:rsidRDefault="008354E8" w:rsidP="00C21C70">
            <w:pPr>
              <w:rPr>
                <w:sz w:val="20"/>
                <w:szCs w:val="20"/>
              </w:rPr>
            </w:pPr>
          </w:p>
        </w:tc>
      </w:tr>
      <w:tr w:rsidR="008354E8" w:rsidRPr="00492A76" w14:paraId="7BEA32EE" w14:textId="77777777" w:rsidTr="00C21C70">
        <w:tc>
          <w:tcPr>
            <w:tcW w:w="9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DCFE07" w14:textId="77777777" w:rsidR="008354E8" w:rsidRPr="00492A76" w:rsidRDefault="008354E8" w:rsidP="00C21C70">
            <w:pPr>
              <w:pStyle w:val="NormalWeb"/>
              <w:spacing w:before="0" w:beforeAutospacing="0" w:after="0" w:afterAutospacing="0"/>
              <w:rPr>
                <w:sz w:val="20"/>
                <w:szCs w:val="20"/>
              </w:rPr>
            </w:pPr>
            <w:r w:rsidRPr="00492A76">
              <w:rPr>
                <w:rFonts w:ascii="Arial" w:hAnsi="Arial" w:cs="Arial"/>
                <w:color w:val="000000"/>
                <w:sz w:val="20"/>
                <w:szCs w:val="20"/>
              </w:rPr>
              <w:t>Health Science</w:t>
            </w:r>
          </w:p>
        </w:tc>
        <w:tc>
          <w:tcPr>
            <w:tcW w:w="223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A19CD" w14:textId="77777777" w:rsidR="008354E8" w:rsidRPr="00492A76" w:rsidRDefault="008354E8" w:rsidP="00C21C70">
            <w:pPr>
              <w:pStyle w:val="NormalWeb"/>
              <w:spacing w:before="0" w:beforeAutospacing="0" w:after="0" w:afterAutospacing="0"/>
              <w:rPr>
                <w:sz w:val="20"/>
                <w:szCs w:val="20"/>
              </w:rPr>
            </w:pPr>
            <w:r w:rsidRPr="00492A76">
              <w:rPr>
                <w:rFonts w:ascii="Arial" w:hAnsi="Arial" w:cs="Arial"/>
                <w:color w:val="000000"/>
                <w:sz w:val="20"/>
                <w:szCs w:val="20"/>
              </w:rPr>
              <w:t xml:space="preserve">Start at 1, if </w:t>
            </w:r>
            <w:proofErr w:type="gramStart"/>
            <w:r w:rsidRPr="00492A76">
              <w:rPr>
                <w:rFonts w:ascii="Arial" w:hAnsi="Arial" w:cs="Arial"/>
                <w:color w:val="000000"/>
                <w:sz w:val="20"/>
                <w:szCs w:val="20"/>
              </w:rPr>
              <w:t>this criteria</w:t>
            </w:r>
            <w:proofErr w:type="gramEnd"/>
            <w:r w:rsidRPr="00492A76">
              <w:rPr>
                <w:rFonts w:ascii="Arial" w:hAnsi="Arial" w:cs="Arial"/>
                <w:color w:val="000000"/>
                <w:sz w:val="20"/>
                <w:szCs w:val="20"/>
              </w:rPr>
              <w:t xml:space="preserve"> is not available, move to 2 etc.</w:t>
            </w:r>
          </w:p>
          <w:p w14:paraId="618C9D58" w14:textId="77777777" w:rsidR="008354E8" w:rsidRPr="00492A76" w:rsidRDefault="008354E8" w:rsidP="00C21C70">
            <w:pPr>
              <w:pStyle w:val="NormalWeb"/>
              <w:numPr>
                <w:ilvl w:val="0"/>
                <w:numId w:val="16"/>
              </w:numPr>
              <w:spacing w:before="0" w:beforeAutospacing="0" w:after="0" w:afterAutospacing="0"/>
              <w:textAlignment w:val="baseline"/>
              <w:rPr>
                <w:rFonts w:ascii="Arial" w:hAnsi="Arial" w:cs="Arial"/>
                <w:color w:val="000000"/>
                <w:sz w:val="20"/>
                <w:szCs w:val="20"/>
              </w:rPr>
            </w:pPr>
            <w:r w:rsidRPr="00492A76">
              <w:rPr>
                <w:rFonts w:ascii="Arial" w:hAnsi="Arial" w:cs="Arial"/>
                <w:color w:val="000000"/>
                <w:sz w:val="20"/>
                <w:szCs w:val="20"/>
              </w:rPr>
              <w:t>“Primary analysis” </w:t>
            </w:r>
          </w:p>
          <w:p w14:paraId="6A7D2AEF" w14:textId="77777777" w:rsidR="008354E8" w:rsidRPr="00492A76" w:rsidRDefault="008354E8" w:rsidP="00C21C70">
            <w:pPr>
              <w:pStyle w:val="NormalWeb"/>
              <w:numPr>
                <w:ilvl w:val="0"/>
                <w:numId w:val="16"/>
              </w:numPr>
              <w:spacing w:before="0" w:beforeAutospacing="0" w:after="0" w:afterAutospacing="0"/>
              <w:textAlignment w:val="baseline"/>
              <w:rPr>
                <w:rFonts w:ascii="Arial" w:hAnsi="Arial" w:cs="Arial"/>
                <w:color w:val="000000"/>
                <w:sz w:val="20"/>
                <w:szCs w:val="20"/>
              </w:rPr>
            </w:pPr>
            <w:r w:rsidRPr="00492A76">
              <w:rPr>
                <w:rFonts w:ascii="Arial" w:hAnsi="Arial" w:cs="Arial"/>
                <w:color w:val="000000"/>
                <w:sz w:val="20"/>
                <w:szCs w:val="20"/>
              </w:rPr>
              <w:t>Analysis of the “primary outcome”</w:t>
            </w:r>
          </w:p>
          <w:p w14:paraId="5EE4F73A" w14:textId="77777777" w:rsidR="008354E8" w:rsidRPr="00492A76" w:rsidRDefault="008354E8" w:rsidP="00C21C70">
            <w:pPr>
              <w:pStyle w:val="NormalWeb"/>
              <w:numPr>
                <w:ilvl w:val="0"/>
                <w:numId w:val="16"/>
              </w:numPr>
              <w:spacing w:before="0" w:beforeAutospacing="0" w:after="0" w:afterAutospacing="0"/>
              <w:textAlignment w:val="baseline"/>
              <w:rPr>
                <w:rFonts w:ascii="Arial" w:hAnsi="Arial" w:cs="Arial"/>
                <w:color w:val="000000"/>
                <w:sz w:val="20"/>
                <w:szCs w:val="20"/>
              </w:rPr>
            </w:pPr>
            <w:r w:rsidRPr="00492A76">
              <w:rPr>
                <w:rFonts w:ascii="Arial" w:hAnsi="Arial" w:cs="Arial"/>
                <w:color w:val="000000"/>
                <w:sz w:val="20"/>
                <w:szCs w:val="20"/>
              </w:rPr>
              <w:t>First explicit model after descriptive analysis</w:t>
            </w:r>
          </w:p>
        </w:tc>
        <w:tc>
          <w:tcPr>
            <w:tcW w:w="185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ED5533" w14:textId="77777777" w:rsidR="008354E8" w:rsidRPr="00492A76" w:rsidRDefault="008354E8" w:rsidP="00C21C70">
            <w:pPr>
              <w:rPr>
                <w:sz w:val="20"/>
                <w:szCs w:val="20"/>
              </w:rPr>
            </w:pPr>
          </w:p>
        </w:tc>
      </w:tr>
    </w:tbl>
    <w:p w14:paraId="62B0D782" w14:textId="77777777" w:rsidR="008354E8" w:rsidRPr="00D40CE6" w:rsidRDefault="008354E8" w:rsidP="008354E8">
      <w:pPr>
        <w:pStyle w:val="NormalWeb"/>
        <w:spacing w:before="0" w:beforeAutospacing="0" w:after="0" w:afterAutospacing="0"/>
        <w:rPr>
          <w:rFonts w:ascii="Arial" w:hAnsi="Arial" w:cs="Arial"/>
          <w:color w:val="000000"/>
          <w:sz w:val="22"/>
          <w:szCs w:val="22"/>
        </w:rPr>
      </w:pPr>
      <w:r w:rsidRPr="00D40CE6">
        <w:rPr>
          <w:rFonts w:ascii="Arial" w:hAnsi="Arial" w:cs="Arial"/>
          <w:color w:val="000000"/>
          <w:sz w:val="22"/>
          <w:szCs w:val="22"/>
        </w:rPr>
        <w:t> </w:t>
      </w:r>
    </w:p>
    <w:p w14:paraId="35488A97" w14:textId="77777777" w:rsidR="008354E8" w:rsidRPr="00D40CE6" w:rsidRDefault="008354E8" w:rsidP="008354E8">
      <w:pPr>
        <w:pStyle w:val="NormalWeb"/>
        <w:spacing w:before="0" w:beforeAutospacing="0" w:after="0" w:afterAutospacing="0"/>
        <w:rPr>
          <w:rFonts w:ascii="Arial" w:hAnsi="Arial" w:cs="Arial"/>
          <w:i/>
          <w:iCs/>
          <w:color w:val="000000"/>
          <w:sz w:val="22"/>
          <w:szCs w:val="22"/>
          <w:lang w:val="en-GB"/>
        </w:rPr>
      </w:pPr>
      <w:r w:rsidRPr="00D40CE6">
        <w:rPr>
          <w:rFonts w:ascii="Arial" w:hAnsi="Arial" w:cs="Arial"/>
          <w:i/>
          <w:iCs/>
          <w:color w:val="000000"/>
          <w:sz w:val="22"/>
          <w:szCs w:val="22"/>
          <w:lang w:val="en-GB"/>
        </w:rPr>
        <w:t>Detailed instructions for the data capture table:</w:t>
      </w:r>
    </w:p>
    <w:p w14:paraId="3AF9A011" w14:textId="77777777" w:rsidR="008354E8" w:rsidRPr="00492A76" w:rsidRDefault="008354E8" w:rsidP="008354E8">
      <w:pPr>
        <w:pStyle w:val="NormalWeb"/>
        <w:spacing w:before="0" w:beforeAutospacing="0" w:after="0" w:afterAutospacing="0"/>
        <w:rPr>
          <w:sz w:val="20"/>
          <w:szCs w:val="20"/>
        </w:rPr>
      </w:pPr>
    </w:p>
    <w:p w14:paraId="157E8485" w14:textId="77777777" w:rsidR="008354E8" w:rsidRDefault="008354E8" w:rsidP="008354E8">
      <w:pPr>
        <w:pStyle w:val="Caption"/>
        <w:keepNext/>
      </w:pPr>
      <w:r>
        <w:rPr>
          <w:b/>
          <w:bCs/>
          <w:sz w:val="20"/>
          <w:szCs w:val="20"/>
          <w:lang w:val="en-GB"/>
        </w:rPr>
        <w:lastRenderedPageBreak/>
        <w:t>Table 8</w:t>
      </w:r>
      <w:r w:rsidRPr="000828D9">
        <w:rPr>
          <w:b/>
          <w:bCs/>
          <w:sz w:val="20"/>
          <w:szCs w:val="20"/>
          <w:lang w:val="en-GB"/>
        </w:rPr>
        <w:t xml:space="preserve">: </w:t>
      </w:r>
      <w:r>
        <w:rPr>
          <w:b/>
          <w:bCs/>
          <w:sz w:val="20"/>
          <w:szCs w:val="20"/>
          <w:lang w:val="en-GB"/>
        </w:rPr>
        <w:t>Detailed reviewer instructions in the data capture table</w:t>
      </w: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9"/>
        <w:gridCol w:w="1137"/>
        <w:gridCol w:w="1620"/>
        <w:gridCol w:w="1787"/>
        <w:gridCol w:w="1721"/>
        <w:gridCol w:w="1268"/>
        <w:gridCol w:w="1132"/>
        <w:gridCol w:w="1266"/>
      </w:tblGrid>
      <w:tr w:rsidR="00F82C75" w:rsidRPr="00CF4C67" w14:paraId="360D5FC1" w14:textId="77777777" w:rsidTr="00C21C70">
        <w:trPr>
          <w:trHeight w:val="1134"/>
        </w:trPr>
        <w:tc>
          <w:tcPr>
            <w:tcW w:w="0" w:type="auto"/>
            <w:shd w:val="clear" w:color="auto" w:fill="D9D9D9"/>
            <w:vAlign w:val="center"/>
          </w:tcPr>
          <w:p w14:paraId="31AE9BB6" w14:textId="77777777" w:rsidR="008354E8" w:rsidRPr="00CF4C67" w:rsidRDefault="008354E8" w:rsidP="00C21C70">
            <w:pPr>
              <w:pStyle w:val="NormalWeb"/>
              <w:spacing w:before="0" w:beforeAutospacing="0" w:after="0" w:afterAutospacing="0"/>
              <w:jc w:val="center"/>
              <w:rPr>
                <w:rFonts w:ascii="Arial" w:hAnsi="Arial" w:cs="Arial"/>
                <w:b/>
                <w:bCs/>
                <w:color w:val="000000"/>
                <w:sz w:val="16"/>
                <w:szCs w:val="16"/>
                <w:lang w:val="en-GB"/>
              </w:rPr>
            </w:pPr>
            <w:r w:rsidRPr="00CF4C67">
              <w:rPr>
                <w:rFonts w:ascii="Arial" w:hAnsi="Arial" w:cs="Arial"/>
                <w:b/>
                <w:bCs/>
                <w:color w:val="000000"/>
                <w:sz w:val="16"/>
                <w:szCs w:val="16"/>
                <w:lang w:val="en-GB"/>
              </w:rPr>
              <w:t>#</w:t>
            </w:r>
          </w:p>
        </w:tc>
        <w:tc>
          <w:tcPr>
            <w:tcW w:w="1137" w:type="dxa"/>
            <w:shd w:val="clear" w:color="auto" w:fill="D9D9D9"/>
            <w:tcMar>
              <w:top w:w="0" w:type="dxa"/>
              <w:left w:w="45" w:type="dxa"/>
              <w:bottom w:w="0" w:type="dxa"/>
              <w:right w:w="45" w:type="dxa"/>
            </w:tcMar>
            <w:vAlign w:val="center"/>
            <w:hideMark/>
          </w:tcPr>
          <w:p w14:paraId="12987434" w14:textId="77777777" w:rsidR="008354E8" w:rsidRPr="00CF4C67" w:rsidRDefault="008354E8" w:rsidP="00C21C70">
            <w:pPr>
              <w:pStyle w:val="NormalWeb"/>
              <w:spacing w:before="0" w:beforeAutospacing="0" w:after="0" w:afterAutospacing="0"/>
              <w:jc w:val="center"/>
              <w:rPr>
                <w:sz w:val="16"/>
                <w:szCs w:val="16"/>
              </w:rPr>
            </w:pPr>
            <w:r w:rsidRPr="00CF4C67">
              <w:rPr>
                <w:rFonts w:ascii="Arial" w:hAnsi="Arial" w:cs="Arial"/>
                <w:b/>
                <w:bCs/>
                <w:color w:val="000000"/>
                <w:sz w:val="16"/>
                <w:szCs w:val="16"/>
              </w:rPr>
              <w:t>Question</w:t>
            </w:r>
          </w:p>
        </w:tc>
        <w:tc>
          <w:tcPr>
            <w:tcW w:w="1620" w:type="dxa"/>
            <w:shd w:val="clear" w:color="auto" w:fill="D9D9D9"/>
            <w:tcMar>
              <w:top w:w="0" w:type="dxa"/>
              <w:left w:w="45" w:type="dxa"/>
              <w:bottom w:w="0" w:type="dxa"/>
              <w:right w:w="45" w:type="dxa"/>
            </w:tcMar>
            <w:vAlign w:val="center"/>
            <w:hideMark/>
          </w:tcPr>
          <w:p w14:paraId="7DAEB59F" w14:textId="77777777" w:rsidR="008354E8" w:rsidRPr="00CF4C67" w:rsidRDefault="008354E8" w:rsidP="00C21C70">
            <w:pPr>
              <w:pStyle w:val="NormalWeb"/>
              <w:spacing w:before="0" w:beforeAutospacing="0" w:after="0" w:afterAutospacing="0"/>
              <w:jc w:val="center"/>
              <w:rPr>
                <w:sz w:val="16"/>
                <w:szCs w:val="16"/>
                <w:lang w:val="en-GB"/>
              </w:rPr>
            </w:pPr>
            <w:r w:rsidRPr="00CF4C67">
              <w:rPr>
                <w:rFonts w:ascii="Arial" w:hAnsi="Arial" w:cs="Arial"/>
                <w:b/>
                <w:bCs/>
                <w:color w:val="000000"/>
                <w:sz w:val="16"/>
                <w:szCs w:val="16"/>
              </w:rPr>
              <w:t>Explanation</w:t>
            </w:r>
            <w:r w:rsidRPr="00CF4C67">
              <w:rPr>
                <w:rFonts w:ascii="Arial" w:hAnsi="Arial" w:cs="Arial"/>
                <w:b/>
                <w:bCs/>
                <w:color w:val="000000"/>
                <w:sz w:val="16"/>
                <w:szCs w:val="16"/>
                <w:lang w:val="en-GB"/>
              </w:rPr>
              <w:t xml:space="preserve"> of the question</w:t>
            </w:r>
          </w:p>
        </w:tc>
        <w:tc>
          <w:tcPr>
            <w:tcW w:w="1787" w:type="dxa"/>
            <w:tcMar>
              <w:top w:w="0" w:type="dxa"/>
              <w:left w:w="45" w:type="dxa"/>
              <w:bottom w:w="0" w:type="dxa"/>
              <w:right w:w="45" w:type="dxa"/>
            </w:tcMar>
            <w:vAlign w:val="center"/>
            <w:hideMark/>
          </w:tcPr>
          <w:p w14:paraId="327A8096" w14:textId="77777777" w:rsidR="008354E8" w:rsidRPr="00CF4C67" w:rsidRDefault="008354E8" w:rsidP="00C21C70">
            <w:pPr>
              <w:pStyle w:val="NormalWeb"/>
              <w:spacing w:before="0" w:beforeAutospacing="0" w:after="0" w:afterAutospacing="0"/>
              <w:jc w:val="center"/>
              <w:rPr>
                <w:sz w:val="16"/>
                <w:szCs w:val="16"/>
              </w:rPr>
            </w:pPr>
            <w:r w:rsidRPr="00CF4C67">
              <w:rPr>
                <w:rFonts w:ascii="Arial" w:hAnsi="Arial" w:cs="Arial"/>
                <w:b/>
                <w:bCs/>
                <w:color w:val="000000"/>
                <w:sz w:val="16"/>
                <w:szCs w:val="16"/>
              </w:rPr>
              <w:t>Answer (expected responses)</w:t>
            </w:r>
          </w:p>
        </w:tc>
        <w:tc>
          <w:tcPr>
            <w:tcW w:w="1721" w:type="dxa"/>
            <w:tcMar>
              <w:top w:w="0" w:type="dxa"/>
              <w:left w:w="45" w:type="dxa"/>
              <w:bottom w:w="0" w:type="dxa"/>
              <w:right w:w="45" w:type="dxa"/>
            </w:tcMar>
            <w:vAlign w:val="center"/>
            <w:hideMark/>
          </w:tcPr>
          <w:p w14:paraId="20A3BCA8" w14:textId="77777777" w:rsidR="008354E8" w:rsidRPr="00CF4C67" w:rsidRDefault="008354E8" w:rsidP="00C21C70">
            <w:pPr>
              <w:pStyle w:val="NormalWeb"/>
              <w:spacing w:before="0" w:beforeAutospacing="0" w:after="0" w:afterAutospacing="0"/>
              <w:jc w:val="center"/>
              <w:rPr>
                <w:rFonts w:ascii="Arial" w:hAnsi="Arial" w:cs="Arial"/>
                <w:b/>
                <w:bCs/>
                <w:color w:val="000000"/>
                <w:sz w:val="16"/>
                <w:szCs w:val="16"/>
              </w:rPr>
            </w:pPr>
            <w:r w:rsidRPr="00CF4C67">
              <w:rPr>
                <w:rFonts w:ascii="Arial" w:hAnsi="Arial" w:cs="Arial"/>
                <w:b/>
                <w:bCs/>
                <w:color w:val="000000"/>
                <w:sz w:val="16"/>
                <w:szCs w:val="16"/>
              </w:rPr>
              <w:t>Details</w:t>
            </w:r>
          </w:p>
          <w:p w14:paraId="44893B6B" w14:textId="77777777" w:rsidR="008354E8" w:rsidRPr="00CF4C67" w:rsidRDefault="008354E8" w:rsidP="00C21C70">
            <w:pPr>
              <w:pStyle w:val="NormalWeb"/>
              <w:spacing w:before="0" w:beforeAutospacing="0" w:after="0" w:afterAutospacing="0"/>
              <w:jc w:val="center"/>
              <w:rPr>
                <w:sz w:val="16"/>
                <w:szCs w:val="16"/>
              </w:rPr>
            </w:pPr>
            <w:r w:rsidRPr="00CF4C67">
              <w:rPr>
                <w:rFonts w:ascii="Arial" w:hAnsi="Arial" w:cs="Arial"/>
                <w:b/>
                <w:bCs/>
                <w:color w:val="000000"/>
                <w:sz w:val="16"/>
                <w:szCs w:val="16"/>
              </w:rPr>
              <w:t>(</w:t>
            </w:r>
            <w:proofErr w:type="gramStart"/>
            <w:r w:rsidRPr="00CF4C67">
              <w:rPr>
                <w:rFonts w:ascii="Arial" w:hAnsi="Arial" w:cs="Arial"/>
                <w:b/>
                <w:bCs/>
                <w:color w:val="000000"/>
                <w:sz w:val="16"/>
                <w:szCs w:val="16"/>
              </w:rPr>
              <w:t>expected</w:t>
            </w:r>
            <w:proofErr w:type="gramEnd"/>
            <w:r w:rsidRPr="00CF4C67">
              <w:rPr>
                <w:rFonts w:ascii="Arial" w:hAnsi="Arial" w:cs="Arial"/>
                <w:b/>
                <w:bCs/>
                <w:color w:val="000000"/>
                <w:sz w:val="16"/>
                <w:szCs w:val="16"/>
              </w:rPr>
              <w:t xml:space="preserve"> responses)</w:t>
            </w:r>
          </w:p>
        </w:tc>
        <w:tc>
          <w:tcPr>
            <w:tcW w:w="1268" w:type="dxa"/>
            <w:tcMar>
              <w:top w:w="0" w:type="dxa"/>
              <w:left w:w="45" w:type="dxa"/>
              <w:bottom w:w="0" w:type="dxa"/>
              <w:right w:w="45" w:type="dxa"/>
            </w:tcMar>
            <w:vAlign w:val="center"/>
            <w:hideMark/>
          </w:tcPr>
          <w:p w14:paraId="5FB94F29" w14:textId="77777777" w:rsidR="008354E8" w:rsidRPr="00CF4C67" w:rsidRDefault="008354E8" w:rsidP="00C21C70">
            <w:pPr>
              <w:pStyle w:val="NormalWeb"/>
              <w:spacing w:before="0" w:beforeAutospacing="0" w:after="0" w:afterAutospacing="0"/>
              <w:jc w:val="center"/>
              <w:rPr>
                <w:rFonts w:ascii="Arial" w:hAnsi="Arial" w:cs="Arial"/>
                <w:b/>
                <w:bCs/>
                <w:color w:val="000000"/>
                <w:sz w:val="16"/>
                <w:szCs w:val="16"/>
                <w:lang w:val="en-GB"/>
              </w:rPr>
            </w:pPr>
            <w:r w:rsidRPr="00CF4C67">
              <w:rPr>
                <w:rFonts w:ascii="Arial" w:hAnsi="Arial" w:cs="Arial"/>
                <w:b/>
                <w:bCs/>
                <w:color w:val="000000"/>
                <w:sz w:val="16"/>
                <w:szCs w:val="16"/>
              </w:rPr>
              <w:t xml:space="preserve">Location </w:t>
            </w:r>
            <w:r w:rsidRPr="00CF4C67">
              <w:rPr>
                <w:rFonts w:ascii="Arial" w:hAnsi="Arial" w:cs="Arial"/>
                <w:b/>
                <w:bCs/>
                <w:color w:val="000000"/>
                <w:sz w:val="16"/>
                <w:szCs w:val="16"/>
                <w:lang w:val="en-GB"/>
              </w:rPr>
              <w:t>of uncertainty reporting</w:t>
            </w:r>
          </w:p>
          <w:p w14:paraId="631EC92F" w14:textId="77777777" w:rsidR="008354E8" w:rsidRPr="00CF4C67" w:rsidRDefault="008354E8" w:rsidP="00C21C70">
            <w:pPr>
              <w:pStyle w:val="NormalWeb"/>
              <w:spacing w:before="0" w:beforeAutospacing="0" w:after="0" w:afterAutospacing="0"/>
              <w:jc w:val="center"/>
              <w:rPr>
                <w:rFonts w:ascii="Arial" w:hAnsi="Arial" w:cs="Arial"/>
                <w:b/>
                <w:bCs/>
                <w:color w:val="000000"/>
                <w:sz w:val="16"/>
                <w:szCs w:val="16"/>
              </w:rPr>
            </w:pPr>
            <w:r w:rsidRPr="00CF4C67">
              <w:rPr>
                <w:rFonts w:ascii="Arial" w:hAnsi="Arial" w:cs="Arial"/>
                <w:b/>
                <w:bCs/>
                <w:color w:val="000000"/>
                <w:sz w:val="16"/>
                <w:szCs w:val="16"/>
              </w:rPr>
              <w:t>(</w:t>
            </w:r>
            <w:proofErr w:type="gramStart"/>
            <w:r w:rsidRPr="00CF4C67">
              <w:rPr>
                <w:rFonts w:ascii="Arial" w:hAnsi="Arial" w:cs="Arial"/>
                <w:b/>
                <w:bCs/>
                <w:color w:val="000000"/>
                <w:sz w:val="16"/>
                <w:szCs w:val="16"/>
              </w:rPr>
              <w:t>expected</w:t>
            </w:r>
            <w:proofErr w:type="gramEnd"/>
            <w:r w:rsidRPr="00CF4C67">
              <w:rPr>
                <w:rFonts w:ascii="Arial" w:hAnsi="Arial" w:cs="Arial"/>
                <w:b/>
                <w:bCs/>
                <w:color w:val="000000"/>
                <w:sz w:val="16"/>
                <w:szCs w:val="16"/>
              </w:rPr>
              <w:t xml:space="preserve"> responses)</w:t>
            </w:r>
          </w:p>
        </w:tc>
        <w:tc>
          <w:tcPr>
            <w:tcW w:w="1132" w:type="dxa"/>
            <w:tcMar>
              <w:top w:w="0" w:type="dxa"/>
              <w:left w:w="45" w:type="dxa"/>
              <w:bottom w:w="0" w:type="dxa"/>
              <w:right w:w="45" w:type="dxa"/>
            </w:tcMar>
            <w:vAlign w:val="center"/>
            <w:hideMark/>
          </w:tcPr>
          <w:p w14:paraId="2F19027E" w14:textId="77777777" w:rsidR="008354E8" w:rsidRPr="00CF4C67" w:rsidRDefault="008354E8" w:rsidP="00C21C70">
            <w:pPr>
              <w:pStyle w:val="NormalWeb"/>
              <w:spacing w:before="0" w:beforeAutospacing="0" w:after="0" w:afterAutospacing="0"/>
              <w:jc w:val="center"/>
              <w:rPr>
                <w:rFonts w:ascii="Arial" w:hAnsi="Arial" w:cs="Arial"/>
                <w:b/>
                <w:bCs/>
                <w:color w:val="000000"/>
                <w:sz w:val="16"/>
                <w:szCs w:val="16"/>
                <w:lang w:val="en-GB"/>
              </w:rPr>
            </w:pPr>
            <w:r w:rsidRPr="00CF4C67">
              <w:rPr>
                <w:rFonts w:ascii="Arial" w:hAnsi="Arial" w:cs="Arial"/>
                <w:b/>
                <w:bCs/>
                <w:color w:val="000000"/>
                <w:sz w:val="16"/>
                <w:szCs w:val="16"/>
              </w:rPr>
              <w:t xml:space="preserve">Presentation </w:t>
            </w:r>
            <w:r w:rsidRPr="00CF4C67">
              <w:rPr>
                <w:rFonts w:ascii="Arial" w:hAnsi="Arial" w:cs="Arial"/>
                <w:b/>
                <w:bCs/>
                <w:color w:val="000000"/>
                <w:sz w:val="16"/>
                <w:szCs w:val="16"/>
                <w:lang w:val="en-GB"/>
              </w:rPr>
              <w:t>of uncertainty</w:t>
            </w:r>
          </w:p>
          <w:p w14:paraId="6D815D42" w14:textId="77777777" w:rsidR="008354E8" w:rsidRPr="00CF4C67" w:rsidRDefault="008354E8" w:rsidP="00C21C70">
            <w:pPr>
              <w:pStyle w:val="NormalWeb"/>
              <w:spacing w:before="0" w:beforeAutospacing="0" w:after="0" w:afterAutospacing="0"/>
              <w:jc w:val="center"/>
              <w:rPr>
                <w:sz w:val="16"/>
                <w:szCs w:val="16"/>
              </w:rPr>
            </w:pPr>
            <w:r w:rsidRPr="00CF4C67">
              <w:rPr>
                <w:rFonts w:ascii="Arial" w:hAnsi="Arial" w:cs="Arial"/>
                <w:b/>
                <w:bCs/>
                <w:color w:val="000000"/>
                <w:sz w:val="16"/>
                <w:szCs w:val="16"/>
              </w:rPr>
              <w:t>(</w:t>
            </w:r>
            <w:proofErr w:type="gramStart"/>
            <w:r w:rsidRPr="00CF4C67">
              <w:rPr>
                <w:rFonts w:ascii="Arial" w:hAnsi="Arial" w:cs="Arial"/>
                <w:b/>
                <w:bCs/>
                <w:color w:val="000000"/>
                <w:sz w:val="16"/>
                <w:szCs w:val="16"/>
              </w:rPr>
              <w:t>expected</w:t>
            </w:r>
            <w:proofErr w:type="gramEnd"/>
            <w:r w:rsidRPr="00CF4C67">
              <w:rPr>
                <w:rFonts w:ascii="Arial" w:hAnsi="Arial" w:cs="Arial"/>
                <w:b/>
                <w:bCs/>
                <w:color w:val="000000"/>
                <w:sz w:val="16"/>
                <w:szCs w:val="16"/>
              </w:rPr>
              <w:t xml:space="preserve"> responses)</w:t>
            </w:r>
          </w:p>
        </w:tc>
        <w:tc>
          <w:tcPr>
            <w:tcW w:w="1266" w:type="dxa"/>
            <w:tcMar>
              <w:top w:w="0" w:type="dxa"/>
              <w:left w:w="45" w:type="dxa"/>
              <w:bottom w:w="0" w:type="dxa"/>
              <w:right w:w="45" w:type="dxa"/>
            </w:tcMar>
            <w:vAlign w:val="center"/>
            <w:hideMark/>
          </w:tcPr>
          <w:p w14:paraId="16E3A3BE" w14:textId="77777777" w:rsidR="008354E8" w:rsidRPr="00CF4C67" w:rsidRDefault="008354E8" w:rsidP="00C21C70">
            <w:pPr>
              <w:pStyle w:val="NormalWeb"/>
              <w:spacing w:before="0" w:beforeAutospacing="0" w:after="0" w:afterAutospacing="0"/>
              <w:jc w:val="center"/>
              <w:rPr>
                <w:sz w:val="16"/>
                <w:szCs w:val="16"/>
              </w:rPr>
            </w:pPr>
            <w:r w:rsidRPr="00CF4C67">
              <w:rPr>
                <w:rFonts w:ascii="Arial" w:hAnsi="Arial" w:cs="Arial"/>
                <w:b/>
                <w:bCs/>
                <w:color w:val="000000"/>
                <w:sz w:val="16"/>
                <w:szCs w:val="16"/>
              </w:rPr>
              <w:t>Model type</w:t>
            </w:r>
          </w:p>
        </w:tc>
      </w:tr>
      <w:tr w:rsidR="00F82C75" w:rsidRPr="00CF4C67" w14:paraId="7D49648C" w14:textId="77777777" w:rsidTr="00C21C70">
        <w:trPr>
          <w:trHeight w:val="7200"/>
        </w:trPr>
        <w:tc>
          <w:tcPr>
            <w:tcW w:w="0" w:type="auto"/>
            <w:shd w:val="clear" w:color="auto" w:fill="D9D9D9"/>
            <w:vAlign w:val="center"/>
          </w:tcPr>
          <w:p w14:paraId="3A1F3DA4" w14:textId="77777777" w:rsidR="008354E8" w:rsidRPr="00CF4C67" w:rsidRDefault="008354E8" w:rsidP="00C21C70">
            <w:pPr>
              <w:pStyle w:val="NormalWeb"/>
              <w:spacing w:before="0" w:beforeAutospacing="0" w:after="0" w:afterAutospacing="0"/>
              <w:jc w:val="center"/>
              <w:rPr>
                <w:rFonts w:ascii="Arial" w:hAnsi="Arial" w:cs="Arial"/>
                <w:b/>
                <w:bCs/>
                <w:color w:val="000000" w:themeColor="text1"/>
                <w:sz w:val="16"/>
                <w:szCs w:val="16"/>
                <w:lang w:val="en-GB"/>
              </w:rPr>
            </w:pPr>
            <w:r w:rsidRPr="00CF4C67">
              <w:rPr>
                <w:rFonts w:ascii="Arial" w:hAnsi="Arial" w:cs="Arial"/>
                <w:b/>
                <w:bCs/>
                <w:color w:val="000000" w:themeColor="text1"/>
                <w:sz w:val="16"/>
                <w:szCs w:val="16"/>
                <w:lang w:val="en-GB"/>
              </w:rPr>
              <w:t>1</w:t>
            </w:r>
          </w:p>
        </w:tc>
        <w:tc>
          <w:tcPr>
            <w:tcW w:w="1137" w:type="dxa"/>
            <w:shd w:val="clear" w:color="auto" w:fill="D9D9D9"/>
            <w:tcMar>
              <w:top w:w="0" w:type="dxa"/>
              <w:left w:w="45" w:type="dxa"/>
              <w:bottom w:w="0" w:type="dxa"/>
              <w:right w:w="45" w:type="dxa"/>
            </w:tcMar>
            <w:vAlign w:val="center"/>
            <w:hideMark/>
          </w:tcPr>
          <w:p w14:paraId="5B8C7DD7"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themeColor="text1"/>
                <w:sz w:val="16"/>
                <w:szCs w:val="16"/>
              </w:rPr>
              <w:t xml:space="preserve">Is uncertainty in the response included in the focal model? </w:t>
            </w:r>
          </w:p>
        </w:tc>
        <w:tc>
          <w:tcPr>
            <w:tcW w:w="1620" w:type="dxa"/>
            <w:shd w:val="clear" w:color="auto" w:fill="D9D9D9"/>
            <w:tcMar>
              <w:top w:w="0" w:type="dxa"/>
              <w:left w:w="45" w:type="dxa"/>
              <w:bottom w:w="0" w:type="dxa"/>
              <w:right w:w="45" w:type="dxa"/>
            </w:tcMar>
            <w:vAlign w:val="center"/>
            <w:hideMark/>
          </w:tcPr>
          <w:p w14:paraId="37C482F6"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themeColor="text1"/>
                <w:sz w:val="16"/>
                <w:szCs w:val="16"/>
              </w:rPr>
              <w:t>This question asks you to focus on the response variable of the model you are assessing and report if any uncertainty in that response is included</w:t>
            </w:r>
            <w:r w:rsidRPr="00CF4C67">
              <w:rPr>
                <w:rFonts w:ascii="Arial" w:hAnsi="Arial" w:cs="Arial"/>
                <w:color w:val="000000" w:themeColor="text1"/>
                <w:sz w:val="16"/>
                <w:szCs w:val="16"/>
                <w:lang w:val="en-GB"/>
              </w:rPr>
              <w:t xml:space="preserve"> </w:t>
            </w:r>
            <w:r w:rsidRPr="00CF4C67">
              <w:rPr>
                <w:rFonts w:ascii="Arial" w:hAnsi="Arial" w:cs="Arial"/>
                <w:color w:val="000000" w:themeColor="text1"/>
                <w:sz w:val="16"/>
                <w:szCs w:val="16"/>
              </w:rPr>
              <w:t xml:space="preserve">and </w:t>
            </w:r>
            <w:r w:rsidRPr="00CF4C67">
              <w:rPr>
                <w:rFonts w:ascii="Arial" w:hAnsi="Arial" w:cs="Arial"/>
                <w:color w:val="000000" w:themeColor="text1"/>
                <w:sz w:val="16"/>
                <w:szCs w:val="16"/>
                <w:lang w:val="en-GB"/>
              </w:rPr>
              <w:t xml:space="preserve">then </w:t>
            </w:r>
            <w:r w:rsidRPr="00CF4C67">
              <w:rPr>
                <w:rFonts w:ascii="Arial" w:hAnsi="Arial" w:cs="Arial"/>
                <w:color w:val="000000" w:themeColor="text1"/>
                <w:sz w:val="16"/>
                <w:szCs w:val="16"/>
              </w:rPr>
              <w:t xml:space="preserve">reported in some way </w:t>
            </w:r>
            <w:r w:rsidRPr="00CF4C67">
              <w:rPr>
                <w:rFonts w:ascii="Arial" w:hAnsi="Arial" w:cs="Arial"/>
                <w:color w:val="000000" w:themeColor="text1"/>
                <w:sz w:val="16"/>
                <w:szCs w:val="16"/>
                <w:lang w:val="en-GB"/>
              </w:rPr>
              <w:t>(</w:t>
            </w:r>
            <w:proofErr w:type="gramStart"/>
            <w:r w:rsidRPr="00CF4C67">
              <w:rPr>
                <w:rFonts w:ascii="Arial" w:hAnsi="Arial" w:cs="Arial"/>
                <w:color w:val="000000" w:themeColor="text1"/>
                <w:sz w:val="16"/>
                <w:szCs w:val="16"/>
              </w:rPr>
              <w:t>i.e.</w:t>
            </w:r>
            <w:proofErr w:type="gramEnd"/>
            <w:r w:rsidRPr="00CF4C67">
              <w:rPr>
                <w:rFonts w:ascii="Arial" w:hAnsi="Arial" w:cs="Arial"/>
                <w:color w:val="000000" w:themeColor="text1"/>
                <w:sz w:val="16"/>
                <w:szCs w:val="16"/>
              </w:rPr>
              <w:t xml:space="preserve"> so you can actually identify it)</w:t>
            </w:r>
          </w:p>
        </w:tc>
        <w:tc>
          <w:tcPr>
            <w:tcW w:w="1787" w:type="dxa"/>
            <w:tcMar>
              <w:top w:w="0" w:type="dxa"/>
              <w:left w:w="45" w:type="dxa"/>
              <w:bottom w:w="0" w:type="dxa"/>
              <w:right w:w="45" w:type="dxa"/>
            </w:tcMar>
            <w:vAlign w:val="center"/>
            <w:hideMark/>
          </w:tcPr>
          <w:p w14:paraId="08E0F9C0"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b/>
                <w:bCs/>
                <w:color w:val="000000"/>
                <w:sz w:val="16"/>
                <w:szCs w:val="16"/>
              </w:rPr>
              <w:t>Yes/No/NA</w:t>
            </w:r>
          </w:p>
          <w:p w14:paraId="39DA012F" w14:textId="77777777" w:rsidR="008354E8" w:rsidRPr="00CF4C67" w:rsidRDefault="008354E8" w:rsidP="00C21C70">
            <w:pPr>
              <w:rPr>
                <w:sz w:val="16"/>
                <w:szCs w:val="16"/>
              </w:rPr>
            </w:pPr>
          </w:p>
          <w:p w14:paraId="7B6C3805" w14:textId="77777777" w:rsidR="008354E8" w:rsidRPr="00CF4C67" w:rsidRDefault="008354E8" w:rsidP="00C21C70">
            <w:pPr>
              <w:pStyle w:val="NormalWeb"/>
              <w:spacing w:before="0" w:beforeAutospacing="0" w:after="0" w:afterAutospacing="0"/>
              <w:rPr>
                <w:color w:val="000000" w:themeColor="text1"/>
                <w:sz w:val="16"/>
                <w:szCs w:val="16"/>
              </w:rPr>
            </w:pPr>
            <w:proofErr w:type="gramStart"/>
            <w:r w:rsidRPr="00CF4C67">
              <w:rPr>
                <w:rFonts w:ascii="Arial" w:hAnsi="Arial" w:cs="Arial"/>
                <w:b/>
                <w:bCs/>
                <w:color w:val="000000" w:themeColor="text1"/>
                <w:sz w:val="16"/>
                <w:szCs w:val="16"/>
              </w:rPr>
              <w:t>Yes</w:t>
            </w:r>
            <w:proofErr w:type="gramEnd"/>
            <w:r w:rsidRPr="00CF4C67">
              <w:rPr>
                <w:rFonts w:ascii="Arial" w:hAnsi="Arial" w:cs="Arial"/>
                <w:color w:val="000000" w:themeColor="text1"/>
                <w:sz w:val="16"/>
                <w:szCs w:val="16"/>
              </w:rPr>
              <w:t xml:space="preserve"> if there is uncertainty reported and it is accounted for in the focal model e.g. measurement error is quantified, the variable is corrected and then used in the model. A Cox model with censoring would be a Y</w:t>
            </w:r>
            <w:r w:rsidRPr="00CF4C67">
              <w:rPr>
                <w:rFonts w:ascii="Arial" w:hAnsi="Arial" w:cs="Arial"/>
                <w:color w:val="000000" w:themeColor="text1"/>
                <w:sz w:val="16"/>
                <w:szCs w:val="16"/>
                <w:lang w:val="en-GB"/>
              </w:rPr>
              <w:t>es</w:t>
            </w:r>
            <w:r w:rsidRPr="00CF4C67">
              <w:rPr>
                <w:rFonts w:ascii="Arial" w:hAnsi="Arial" w:cs="Arial"/>
                <w:color w:val="000000" w:themeColor="text1"/>
                <w:sz w:val="16"/>
                <w:szCs w:val="16"/>
              </w:rPr>
              <w:t xml:space="preserve">. If a random effect model is used where measurement error can be distinguished from other patterns, this is a Yes answer </w:t>
            </w:r>
            <w:r w:rsidRPr="00CF4C67">
              <w:rPr>
                <w:rFonts w:ascii="Arial" w:hAnsi="Arial" w:cs="Arial"/>
                <w:color w:val="000000" w:themeColor="text1"/>
                <w:sz w:val="16"/>
                <w:szCs w:val="16"/>
                <w:lang w:val="en-GB"/>
              </w:rPr>
              <w:t>as well.</w:t>
            </w:r>
            <w:r w:rsidRPr="00CF4C67">
              <w:rPr>
                <w:rFonts w:ascii="Arial" w:hAnsi="Arial" w:cs="Arial"/>
                <w:color w:val="000000" w:themeColor="text1"/>
                <w:sz w:val="16"/>
                <w:szCs w:val="16"/>
              </w:rPr>
              <w:t xml:space="preserve"> (Should be explained in the paper that the random effect structure is used to look at uncertainty).</w:t>
            </w:r>
          </w:p>
          <w:p w14:paraId="01AE10C1" w14:textId="77777777" w:rsidR="008354E8" w:rsidRPr="00CF4C67" w:rsidRDefault="008354E8" w:rsidP="00C21C70">
            <w:pPr>
              <w:rPr>
                <w:sz w:val="16"/>
                <w:szCs w:val="16"/>
              </w:rPr>
            </w:pPr>
          </w:p>
          <w:p w14:paraId="0DC57630" w14:textId="77777777" w:rsidR="008354E8" w:rsidRPr="00CF4C67" w:rsidRDefault="008354E8" w:rsidP="00C21C70">
            <w:pPr>
              <w:pStyle w:val="NormalWeb"/>
              <w:spacing w:before="0" w:beforeAutospacing="0" w:after="0" w:afterAutospacing="0"/>
              <w:rPr>
                <w:sz w:val="16"/>
                <w:szCs w:val="16"/>
                <w:lang w:val="en-GB"/>
              </w:rPr>
            </w:pPr>
            <w:r w:rsidRPr="00CF4C67">
              <w:rPr>
                <w:rFonts w:ascii="Arial" w:hAnsi="Arial" w:cs="Arial"/>
                <w:b/>
                <w:bCs/>
                <w:color w:val="000000"/>
                <w:sz w:val="16"/>
                <w:szCs w:val="16"/>
              </w:rPr>
              <w:t>No</w:t>
            </w:r>
            <w:r w:rsidRPr="00CF4C67">
              <w:rPr>
                <w:rFonts w:ascii="Arial" w:hAnsi="Arial" w:cs="Arial"/>
                <w:color w:val="000000"/>
                <w:sz w:val="16"/>
                <w:szCs w:val="16"/>
              </w:rPr>
              <w:t xml:space="preserve"> if there is no uncertainty reported or if it is not </w:t>
            </w:r>
            <w:r w:rsidRPr="00CF4C67">
              <w:rPr>
                <w:rFonts w:ascii="Arial" w:hAnsi="Arial" w:cs="Arial"/>
                <w:color w:val="000000" w:themeColor="text1"/>
                <w:sz w:val="16"/>
                <w:szCs w:val="16"/>
              </w:rPr>
              <w:t xml:space="preserve">explicitly accounted </w:t>
            </w:r>
            <w:r w:rsidRPr="00CF4C67">
              <w:rPr>
                <w:rFonts w:ascii="Arial" w:hAnsi="Arial" w:cs="Arial"/>
                <w:color w:val="000000"/>
                <w:sz w:val="16"/>
                <w:szCs w:val="16"/>
              </w:rPr>
              <w:t xml:space="preserve">for in the model. This should be the answer even if the uncertainty CAN’T be </w:t>
            </w:r>
            <w:r w:rsidRPr="00CF4C67">
              <w:rPr>
                <w:rFonts w:ascii="Arial" w:hAnsi="Arial" w:cs="Arial"/>
                <w:color w:val="000000" w:themeColor="text1"/>
                <w:sz w:val="16"/>
                <w:szCs w:val="16"/>
              </w:rPr>
              <w:t xml:space="preserve">quantified. That will be covered in the </w:t>
            </w:r>
            <w:proofErr w:type="gramStart"/>
            <w:r w:rsidRPr="00CF4C67">
              <w:rPr>
                <w:rFonts w:ascii="Arial" w:hAnsi="Arial" w:cs="Arial"/>
                <w:color w:val="000000" w:themeColor="text1"/>
                <w:sz w:val="16"/>
                <w:szCs w:val="16"/>
              </w:rPr>
              <w:t>details</w:t>
            </w:r>
            <w:proofErr w:type="gramEnd"/>
            <w:r w:rsidRPr="00CF4C67">
              <w:rPr>
                <w:rFonts w:ascii="Arial" w:hAnsi="Arial" w:cs="Arial"/>
                <w:color w:val="000000" w:themeColor="text1"/>
                <w:sz w:val="16"/>
                <w:szCs w:val="16"/>
              </w:rPr>
              <w:t xml:space="preserve"> column. A linear regression with normal noise and </w:t>
            </w:r>
            <w:proofErr w:type="gramStart"/>
            <w:r w:rsidRPr="00CF4C67">
              <w:rPr>
                <w:rFonts w:ascii="Arial" w:hAnsi="Arial" w:cs="Arial"/>
                <w:color w:val="000000" w:themeColor="text1"/>
                <w:sz w:val="16"/>
                <w:szCs w:val="16"/>
              </w:rPr>
              <w:t>N</w:t>
            </w:r>
            <w:r w:rsidRPr="00CF4C67">
              <w:rPr>
                <w:rFonts w:ascii="Arial" w:hAnsi="Arial" w:cs="Arial"/>
                <w:color w:val="000000" w:themeColor="text1"/>
                <w:sz w:val="16"/>
                <w:szCs w:val="16"/>
                <w:lang w:val="en-GB"/>
              </w:rPr>
              <w:t>o</w:t>
            </w:r>
            <w:proofErr w:type="gramEnd"/>
            <w:r w:rsidRPr="00CF4C67">
              <w:rPr>
                <w:rFonts w:ascii="Arial" w:hAnsi="Arial" w:cs="Arial"/>
                <w:color w:val="000000" w:themeColor="text1"/>
                <w:sz w:val="16"/>
                <w:szCs w:val="16"/>
              </w:rPr>
              <w:t xml:space="preserve"> extra steps will be a No answer here</w:t>
            </w:r>
            <w:r w:rsidRPr="00CF4C67">
              <w:rPr>
                <w:rFonts w:ascii="Arial" w:hAnsi="Arial" w:cs="Arial"/>
                <w:color w:val="000000" w:themeColor="text1"/>
                <w:sz w:val="16"/>
                <w:szCs w:val="16"/>
                <w:lang w:val="en-GB"/>
              </w:rPr>
              <w:t>.</w:t>
            </w:r>
          </w:p>
          <w:p w14:paraId="6B53BA26" w14:textId="77777777" w:rsidR="008354E8" w:rsidRPr="00CF4C67" w:rsidRDefault="008354E8" w:rsidP="00C21C70">
            <w:pPr>
              <w:rPr>
                <w:sz w:val="16"/>
                <w:szCs w:val="16"/>
              </w:rPr>
            </w:pPr>
          </w:p>
          <w:p w14:paraId="061922D1"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b/>
                <w:bCs/>
                <w:color w:val="000000"/>
                <w:sz w:val="16"/>
                <w:szCs w:val="16"/>
              </w:rPr>
              <w:t>NA</w:t>
            </w:r>
            <w:r w:rsidRPr="00CF4C67">
              <w:rPr>
                <w:rFonts w:ascii="Arial" w:hAnsi="Arial" w:cs="Arial"/>
                <w:color w:val="000000"/>
                <w:sz w:val="16"/>
                <w:szCs w:val="16"/>
              </w:rPr>
              <w:t xml:space="preserve"> should be used when the component is not present in the model.</w:t>
            </w:r>
          </w:p>
          <w:p w14:paraId="0D596BB1" w14:textId="77777777" w:rsidR="008354E8" w:rsidRPr="00CF4C67" w:rsidRDefault="008354E8" w:rsidP="00C21C70">
            <w:pPr>
              <w:rPr>
                <w:sz w:val="16"/>
                <w:szCs w:val="16"/>
              </w:rPr>
            </w:pPr>
          </w:p>
          <w:p w14:paraId="3A852EE2"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 xml:space="preserve">If there are multiple responses and some have uncertainty reported use </w:t>
            </w:r>
            <w:r w:rsidRPr="00CF4C67">
              <w:rPr>
                <w:rFonts w:ascii="Arial" w:hAnsi="Arial" w:cs="Arial"/>
                <w:b/>
                <w:bCs/>
                <w:color w:val="000000"/>
                <w:sz w:val="16"/>
                <w:szCs w:val="16"/>
              </w:rPr>
              <w:t>Yes</w:t>
            </w:r>
            <w:r w:rsidRPr="00CF4C67">
              <w:rPr>
                <w:rFonts w:ascii="Arial" w:hAnsi="Arial" w:cs="Arial"/>
                <w:color w:val="000000"/>
                <w:sz w:val="16"/>
                <w:szCs w:val="16"/>
              </w:rPr>
              <w:t xml:space="preserve"> but write </w:t>
            </w:r>
            <w:r w:rsidRPr="00CF4C67">
              <w:rPr>
                <w:rFonts w:ascii="Arial" w:hAnsi="Arial" w:cs="Arial"/>
                <w:b/>
                <w:bCs/>
                <w:color w:val="000000"/>
                <w:sz w:val="16"/>
                <w:szCs w:val="16"/>
              </w:rPr>
              <w:t>incomplete</w:t>
            </w:r>
            <w:r w:rsidRPr="00CF4C67">
              <w:rPr>
                <w:rFonts w:ascii="Arial" w:hAnsi="Arial" w:cs="Arial"/>
                <w:color w:val="000000"/>
                <w:sz w:val="16"/>
                <w:szCs w:val="16"/>
              </w:rPr>
              <w:t xml:space="preserve"> in comments. </w:t>
            </w:r>
          </w:p>
        </w:tc>
        <w:tc>
          <w:tcPr>
            <w:tcW w:w="1721" w:type="dxa"/>
            <w:tcMar>
              <w:top w:w="0" w:type="dxa"/>
              <w:left w:w="45" w:type="dxa"/>
              <w:bottom w:w="0" w:type="dxa"/>
              <w:right w:w="45" w:type="dxa"/>
            </w:tcMar>
            <w:vAlign w:val="center"/>
            <w:hideMark/>
          </w:tcPr>
          <w:p w14:paraId="226455D1"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I</w:t>
            </w:r>
            <w:r w:rsidRPr="00CF4C67">
              <w:rPr>
                <w:rFonts w:ascii="Arial" w:hAnsi="Arial" w:cs="Arial"/>
                <w:color w:val="000000"/>
                <w:sz w:val="16"/>
                <w:szCs w:val="16"/>
                <w:lang w:val="en-GB"/>
              </w:rPr>
              <w:t>f</w:t>
            </w:r>
            <w:r w:rsidRPr="00CF4C67">
              <w:rPr>
                <w:rFonts w:ascii="Arial" w:hAnsi="Arial" w:cs="Arial"/>
                <w:color w:val="000000"/>
                <w:sz w:val="16"/>
                <w:szCs w:val="16"/>
              </w:rPr>
              <w:t xml:space="preserve"> </w:t>
            </w:r>
            <w:r w:rsidRPr="00CF4C67">
              <w:rPr>
                <w:rFonts w:ascii="Arial" w:hAnsi="Arial" w:cs="Arial"/>
                <w:b/>
                <w:bCs/>
                <w:color w:val="000000"/>
                <w:sz w:val="16"/>
                <w:szCs w:val="16"/>
              </w:rPr>
              <w:t xml:space="preserve">ANSWER = </w:t>
            </w:r>
            <w:proofErr w:type="gramStart"/>
            <w:r w:rsidRPr="00CF4C67">
              <w:rPr>
                <w:rFonts w:ascii="Arial" w:hAnsi="Arial" w:cs="Arial"/>
                <w:b/>
                <w:bCs/>
                <w:color w:val="000000"/>
                <w:sz w:val="16"/>
                <w:szCs w:val="16"/>
              </w:rPr>
              <w:t>Y</w:t>
            </w:r>
            <w:r w:rsidRPr="00CF4C67">
              <w:rPr>
                <w:rFonts w:ascii="Arial" w:hAnsi="Arial" w:cs="Arial"/>
                <w:b/>
                <w:bCs/>
                <w:color w:val="000000"/>
                <w:sz w:val="16"/>
                <w:szCs w:val="16"/>
                <w:lang w:val="en-GB"/>
              </w:rPr>
              <w:t>es</w:t>
            </w:r>
            <w:proofErr w:type="gramEnd"/>
            <w:r w:rsidRPr="00CF4C67">
              <w:rPr>
                <w:rFonts w:ascii="Arial" w:hAnsi="Arial" w:cs="Arial"/>
                <w:color w:val="000000"/>
                <w:sz w:val="16"/>
                <w:szCs w:val="16"/>
              </w:rPr>
              <w:t xml:space="preserve"> this should cover the type of uncertainty</w:t>
            </w:r>
            <w:r w:rsidRPr="00CF4C67">
              <w:rPr>
                <w:rFonts w:ascii="Arial" w:hAnsi="Arial" w:cs="Arial"/>
                <w:color w:val="000000"/>
                <w:sz w:val="16"/>
                <w:szCs w:val="16"/>
                <w:lang w:val="en-GB"/>
              </w:rPr>
              <w:t xml:space="preserve"> that has been reported</w:t>
            </w:r>
            <w:r w:rsidRPr="00CF4C67">
              <w:rPr>
                <w:rFonts w:ascii="Arial" w:hAnsi="Arial" w:cs="Arial"/>
                <w:color w:val="000000"/>
                <w:sz w:val="16"/>
                <w:szCs w:val="16"/>
              </w:rPr>
              <w:t xml:space="preserve"> e.g.</w:t>
            </w:r>
          </w:p>
          <w:p w14:paraId="7E3CF1DD"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Standard error (</w:t>
            </w:r>
            <w:r w:rsidRPr="00CF4C67">
              <w:rPr>
                <w:rFonts w:ascii="Arial" w:hAnsi="Arial" w:cs="Arial"/>
                <w:b/>
                <w:bCs/>
                <w:color w:val="000000"/>
                <w:sz w:val="16"/>
                <w:szCs w:val="16"/>
              </w:rPr>
              <w:t>SE</w:t>
            </w:r>
            <w:r w:rsidRPr="00CF4C67">
              <w:rPr>
                <w:rFonts w:ascii="Arial" w:hAnsi="Arial" w:cs="Arial"/>
                <w:color w:val="000000"/>
                <w:sz w:val="16"/>
                <w:szCs w:val="16"/>
              </w:rPr>
              <w:t>), Bootstrap interval (</w:t>
            </w:r>
            <w:r w:rsidRPr="00CF4C67">
              <w:rPr>
                <w:rFonts w:ascii="Arial" w:hAnsi="Arial" w:cs="Arial"/>
                <w:b/>
                <w:bCs/>
                <w:color w:val="000000"/>
                <w:sz w:val="16"/>
                <w:szCs w:val="16"/>
              </w:rPr>
              <w:t>BI</w:t>
            </w:r>
            <w:r w:rsidRPr="00CF4C67">
              <w:rPr>
                <w:rFonts w:ascii="Arial" w:hAnsi="Arial" w:cs="Arial"/>
                <w:color w:val="000000"/>
                <w:sz w:val="16"/>
                <w:szCs w:val="16"/>
              </w:rPr>
              <w:t>), Credible interval or confidence interval (</w:t>
            </w:r>
            <w:r w:rsidRPr="00CF4C67">
              <w:rPr>
                <w:rFonts w:ascii="Arial" w:hAnsi="Arial" w:cs="Arial"/>
                <w:b/>
                <w:bCs/>
                <w:color w:val="000000"/>
                <w:sz w:val="16"/>
                <w:szCs w:val="16"/>
              </w:rPr>
              <w:t>CI</w:t>
            </w:r>
            <w:r w:rsidRPr="00CF4C67">
              <w:rPr>
                <w:rFonts w:ascii="Arial" w:hAnsi="Arial" w:cs="Arial"/>
                <w:color w:val="000000"/>
                <w:sz w:val="16"/>
                <w:szCs w:val="16"/>
              </w:rPr>
              <w:t>), measurement error (</w:t>
            </w:r>
            <w:r w:rsidRPr="00CF4C67">
              <w:rPr>
                <w:rFonts w:ascii="Arial" w:hAnsi="Arial" w:cs="Arial"/>
                <w:b/>
                <w:bCs/>
                <w:color w:val="000000"/>
                <w:sz w:val="16"/>
                <w:szCs w:val="16"/>
              </w:rPr>
              <w:t>ME</w:t>
            </w:r>
            <w:r w:rsidRPr="00CF4C67">
              <w:rPr>
                <w:rFonts w:ascii="Arial" w:hAnsi="Arial" w:cs="Arial"/>
                <w:color w:val="000000"/>
                <w:sz w:val="16"/>
                <w:szCs w:val="16"/>
              </w:rPr>
              <w:t>), observation error (</w:t>
            </w:r>
            <w:r w:rsidRPr="00CF4C67">
              <w:rPr>
                <w:rFonts w:ascii="Arial" w:hAnsi="Arial" w:cs="Arial"/>
                <w:b/>
                <w:bCs/>
                <w:color w:val="000000"/>
                <w:sz w:val="16"/>
                <w:szCs w:val="16"/>
              </w:rPr>
              <w:t>OE</w:t>
            </w:r>
            <w:r w:rsidRPr="00CF4C67">
              <w:rPr>
                <w:rFonts w:ascii="Arial" w:hAnsi="Arial" w:cs="Arial"/>
                <w:color w:val="000000"/>
                <w:sz w:val="16"/>
                <w:szCs w:val="16"/>
              </w:rPr>
              <w:t>), a state model (</w:t>
            </w:r>
            <w:r w:rsidRPr="00CF4C67">
              <w:rPr>
                <w:rFonts w:ascii="Arial" w:hAnsi="Arial" w:cs="Arial"/>
                <w:b/>
                <w:bCs/>
                <w:color w:val="000000"/>
                <w:sz w:val="16"/>
                <w:szCs w:val="16"/>
              </w:rPr>
              <w:t>State</w:t>
            </w:r>
            <w:r w:rsidRPr="00CF4C67">
              <w:rPr>
                <w:rFonts w:ascii="Arial" w:hAnsi="Arial" w:cs="Arial"/>
                <w:color w:val="000000"/>
                <w:sz w:val="16"/>
                <w:szCs w:val="16"/>
              </w:rPr>
              <w:t>). </w:t>
            </w:r>
          </w:p>
          <w:p w14:paraId="03179B4F" w14:textId="77777777" w:rsidR="008354E8" w:rsidRPr="00CF4C67" w:rsidRDefault="008354E8" w:rsidP="00C21C70">
            <w:pPr>
              <w:rPr>
                <w:sz w:val="16"/>
                <w:szCs w:val="16"/>
              </w:rPr>
            </w:pPr>
          </w:p>
          <w:p w14:paraId="3BADC818" w14:textId="77777777" w:rsidR="008354E8" w:rsidRPr="00CF4C67" w:rsidRDefault="008354E8" w:rsidP="00C21C70">
            <w:pPr>
              <w:pStyle w:val="NormalWeb"/>
              <w:spacing w:before="0" w:beforeAutospacing="0" w:after="0" w:afterAutospacing="0"/>
              <w:rPr>
                <w:rFonts w:ascii="Arial" w:hAnsi="Arial" w:cs="Arial"/>
                <w:color w:val="000000"/>
                <w:sz w:val="16"/>
                <w:szCs w:val="16"/>
              </w:rPr>
            </w:pPr>
            <w:r w:rsidRPr="00CF4C67">
              <w:rPr>
                <w:rFonts w:ascii="Arial" w:hAnsi="Arial" w:cs="Arial"/>
                <w:color w:val="000000"/>
                <w:sz w:val="16"/>
                <w:szCs w:val="16"/>
              </w:rPr>
              <w:t xml:space="preserve">Full list of uncertainty types </w:t>
            </w:r>
            <w:r w:rsidRPr="00CF4C67">
              <w:rPr>
                <w:rFonts w:ascii="Arial" w:hAnsi="Arial" w:cs="Arial"/>
                <w:color w:val="000000"/>
                <w:sz w:val="16"/>
                <w:szCs w:val="16"/>
                <w:lang w:val="en-GB"/>
              </w:rPr>
              <w:t>below.</w:t>
            </w:r>
            <w:r w:rsidRPr="00CF4C67">
              <w:rPr>
                <w:rFonts w:ascii="Arial" w:hAnsi="Arial" w:cs="Arial"/>
                <w:color w:val="000000"/>
                <w:sz w:val="16"/>
                <w:szCs w:val="16"/>
              </w:rPr>
              <w:t> </w:t>
            </w:r>
          </w:p>
          <w:p w14:paraId="14E20283" w14:textId="77777777" w:rsidR="008354E8" w:rsidRPr="00CF4C67" w:rsidRDefault="008354E8" w:rsidP="00C21C70">
            <w:pPr>
              <w:pStyle w:val="NormalWeb"/>
              <w:spacing w:before="0" w:beforeAutospacing="0" w:after="0" w:afterAutospacing="0"/>
              <w:rPr>
                <w:rFonts w:ascii="Arial" w:hAnsi="Arial" w:cs="Arial"/>
                <w:color w:val="000000"/>
                <w:sz w:val="16"/>
                <w:szCs w:val="16"/>
              </w:rPr>
            </w:pPr>
          </w:p>
          <w:p w14:paraId="3D871223" w14:textId="77777777" w:rsidR="008354E8" w:rsidRPr="00CF4C67" w:rsidRDefault="008354E8" w:rsidP="00C21C70">
            <w:pPr>
              <w:pStyle w:val="NormalWeb"/>
              <w:spacing w:before="0" w:beforeAutospacing="0" w:after="0" w:afterAutospacing="0"/>
              <w:rPr>
                <w:rFonts w:ascii="Arial" w:hAnsi="Arial" w:cs="Arial"/>
                <w:color w:val="000000"/>
                <w:sz w:val="16"/>
                <w:szCs w:val="16"/>
              </w:rPr>
            </w:pPr>
            <w:r w:rsidRPr="00CF4C67">
              <w:rPr>
                <w:rFonts w:ascii="Arial" w:hAnsi="Arial" w:cs="Arial"/>
                <w:color w:val="000000"/>
                <w:sz w:val="16"/>
                <w:szCs w:val="16"/>
              </w:rPr>
              <w:t>I</w:t>
            </w:r>
            <w:r w:rsidRPr="00CF4C67">
              <w:rPr>
                <w:rFonts w:ascii="Arial" w:hAnsi="Arial" w:cs="Arial"/>
                <w:color w:val="000000"/>
                <w:sz w:val="16"/>
                <w:szCs w:val="16"/>
                <w:lang w:val="en-GB"/>
              </w:rPr>
              <w:t>f</w:t>
            </w:r>
            <w:r w:rsidRPr="00CF4C67">
              <w:rPr>
                <w:rFonts w:ascii="Arial" w:hAnsi="Arial" w:cs="Arial"/>
                <w:color w:val="000000"/>
                <w:sz w:val="16"/>
                <w:szCs w:val="16"/>
              </w:rPr>
              <w:t xml:space="preserve"> </w:t>
            </w:r>
            <w:r w:rsidRPr="00CF4C67">
              <w:rPr>
                <w:rFonts w:ascii="Arial" w:hAnsi="Arial" w:cs="Arial"/>
                <w:b/>
                <w:bCs/>
                <w:color w:val="000000"/>
                <w:sz w:val="16"/>
                <w:szCs w:val="16"/>
              </w:rPr>
              <w:t>ANSWER = N</w:t>
            </w:r>
            <w:r w:rsidRPr="00CF4C67">
              <w:rPr>
                <w:rFonts w:ascii="Arial" w:hAnsi="Arial" w:cs="Arial"/>
                <w:b/>
                <w:bCs/>
                <w:color w:val="000000"/>
                <w:sz w:val="16"/>
                <w:szCs w:val="16"/>
                <w:lang w:val="en-GB"/>
              </w:rPr>
              <w:t>o</w:t>
            </w:r>
            <w:r w:rsidRPr="00CF4C67">
              <w:rPr>
                <w:rFonts w:ascii="Arial" w:hAnsi="Arial" w:cs="Arial"/>
                <w:color w:val="000000"/>
                <w:sz w:val="16"/>
                <w:szCs w:val="16"/>
              </w:rPr>
              <w:t xml:space="preserve"> this can explain if the uncertainty is Missing (</w:t>
            </w:r>
            <w:r w:rsidRPr="00CF4C67">
              <w:rPr>
                <w:rFonts w:ascii="Arial" w:hAnsi="Arial" w:cs="Arial"/>
                <w:b/>
                <w:bCs/>
                <w:color w:val="000000"/>
                <w:sz w:val="16"/>
                <w:szCs w:val="16"/>
              </w:rPr>
              <w:t>MISS</w:t>
            </w:r>
            <w:r w:rsidRPr="00CF4C67">
              <w:rPr>
                <w:rFonts w:ascii="Arial" w:hAnsi="Arial" w:cs="Arial"/>
                <w:color w:val="000000"/>
                <w:sz w:val="16"/>
                <w:szCs w:val="16"/>
              </w:rPr>
              <w:t>), Impossible (</w:t>
            </w:r>
            <w:r w:rsidRPr="00CF4C67">
              <w:rPr>
                <w:rFonts w:ascii="Arial" w:hAnsi="Arial" w:cs="Arial"/>
                <w:b/>
                <w:bCs/>
                <w:color w:val="000000"/>
                <w:sz w:val="16"/>
                <w:szCs w:val="16"/>
              </w:rPr>
              <w:t>IM</w:t>
            </w:r>
            <w:r w:rsidRPr="00CF4C67">
              <w:rPr>
                <w:rFonts w:ascii="Arial" w:hAnsi="Arial" w:cs="Arial"/>
                <w:color w:val="000000"/>
                <w:sz w:val="16"/>
                <w:szCs w:val="16"/>
              </w:rPr>
              <w:t xml:space="preserve">), or no uncertainty in the variable </w:t>
            </w:r>
            <w:proofErr w:type="gramStart"/>
            <w:r w:rsidRPr="00CF4C67">
              <w:rPr>
                <w:rFonts w:ascii="Arial" w:hAnsi="Arial" w:cs="Arial"/>
                <w:color w:val="000000"/>
                <w:sz w:val="16"/>
                <w:szCs w:val="16"/>
              </w:rPr>
              <w:t>i.e.</w:t>
            </w:r>
            <w:proofErr w:type="gramEnd"/>
            <w:r w:rsidRPr="00CF4C67">
              <w:rPr>
                <w:rFonts w:ascii="Arial" w:hAnsi="Arial" w:cs="Arial"/>
                <w:color w:val="000000"/>
                <w:sz w:val="16"/>
                <w:szCs w:val="16"/>
              </w:rPr>
              <w:t xml:space="preserve"> uncertainty is not relevant for this variable (</w:t>
            </w:r>
            <w:r w:rsidRPr="00CF4C67">
              <w:rPr>
                <w:rFonts w:ascii="Arial" w:hAnsi="Arial" w:cs="Arial"/>
                <w:b/>
                <w:bCs/>
                <w:color w:val="000000"/>
                <w:sz w:val="16"/>
                <w:szCs w:val="16"/>
              </w:rPr>
              <w:t>NU</w:t>
            </w:r>
            <w:r w:rsidRPr="00CF4C67">
              <w:rPr>
                <w:rFonts w:ascii="Arial" w:hAnsi="Arial" w:cs="Arial"/>
                <w:color w:val="000000"/>
                <w:sz w:val="16"/>
                <w:szCs w:val="16"/>
              </w:rPr>
              <w:t xml:space="preserve">), </w:t>
            </w:r>
            <w:r w:rsidRPr="00CF4C67">
              <w:rPr>
                <w:rFonts w:ascii="Arial" w:hAnsi="Arial" w:cs="Arial"/>
                <w:b/>
                <w:bCs/>
                <w:color w:val="000000"/>
                <w:sz w:val="16"/>
                <w:szCs w:val="16"/>
              </w:rPr>
              <w:t xml:space="preserve">Not propagated </w:t>
            </w:r>
            <w:r w:rsidRPr="00CF4C67">
              <w:rPr>
                <w:rFonts w:ascii="Arial" w:hAnsi="Arial" w:cs="Arial"/>
                <w:color w:val="000000"/>
                <w:sz w:val="16"/>
                <w:szCs w:val="16"/>
              </w:rPr>
              <w:t>(if mentioned elsewhere but not included in model)</w:t>
            </w:r>
          </w:p>
          <w:p w14:paraId="01CFAB8D" w14:textId="77777777" w:rsidR="008354E8" w:rsidRPr="00CF4C67" w:rsidRDefault="008354E8" w:rsidP="00C21C70">
            <w:pPr>
              <w:pStyle w:val="NormalWeb"/>
              <w:spacing w:before="0" w:beforeAutospacing="0" w:after="0" w:afterAutospacing="0"/>
              <w:rPr>
                <w:sz w:val="16"/>
                <w:szCs w:val="16"/>
              </w:rPr>
            </w:pPr>
          </w:p>
          <w:p w14:paraId="16F4E3BE"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 xml:space="preserve">Can also </w:t>
            </w:r>
            <w:proofErr w:type="gramStart"/>
            <w:r w:rsidRPr="00CF4C67">
              <w:rPr>
                <w:rFonts w:ascii="Arial" w:hAnsi="Arial" w:cs="Arial"/>
                <w:color w:val="000000"/>
                <w:sz w:val="16"/>
                <w:szCs w:val="16"/>
              </w:rPr>
              <w:t>include:</w:t>
            </w:r>
            <w:proofErr w:type="gramEnd"/>
            <w:r w:rsidRPr="00CF4C67">
              <w:rPr>
                <w:rFonts w:ascii="Arial" w:hAnsi="Arial" w:cs="Arial"/>
                <w:color w:val="000000"/>
                <w:sz w:val="16"/>
                <w:szCs w:val="16"/>
              </w:rPr>
              <w:t xml:space="preserve"> </w:t>
            </w:r>
            <w:r w:rsidRPr="00CF4C67">
              <w:rPr>
                <w:rFonts w:ascii="Arial" w:hAnsi="Arial" w:cs="Arial"/>
                <w:b/>
                <w:bCs/>
                <w:color w:val="000000"/>
                <w:sz w:val="16"/>
                <w:szCs w:val="16"/>
              </w:rPr>
              <w:t>NA, I don’t know, can’t tell</w:t>
            </w:r>
            <w:r w:rsidRPr="00CF4C67">
              <w:rPr>
                <w:rFonts w:ascii="Arial" w:hAnsi="Arial" w:cs="Arial"/>
                <w:color w:val="000000"/>
                <w:sz w:val="16"/>
                <w:szCs w:val="16"/>
              </w:rPr>
              <w:t>.</w:t>
            </w:r>
          </w:p>
          <w:p w14:paraId="4BD1A73F" w14:textId="77777777" w:rsidR="008354E8" w:rsidRPr="00CF4C67" w:rsidRDefault="008354E8" w:rsidP="00C21C70">
            <w:pPr>
              <w:pStyle w:val="NormalWeb"/>
              <w:spacing w:before="0" w:after="0"/>
              <w:rPr>
                <w:sz w:val="16"/>
                <w:szCs w:val="16"/>
              </w:rPr>
            </w:pPr>
            <w:r w:rsidRPr="00CF4C67">
              <w:rPr>
                <w:rFonts w:ascii="Arial" w:hAnsi="Arial" w:cs="Arial"/>
                <w:color w:val="000000"/>
                <w:sz w:val="16"/>
                <w:szCs w:val="16"/>
              </w:rPr>
              <w:t>IF ANSWER = NO this can explain if the uncertainty is Missing (</w:t>
            </w:r>
            <w:r w:rsidRPr="00CF4C67">
              <w:rPr>
                <w:rFonts w:ascii="Arial" w:hAnsi="Arial" w:cs="Arial"/>
                <w:b/>
                <w:bCs/>
                <w:color w:val="000000"/>
                <w:sz w:val="16"/>
                <w:szCs w:val="16"/>
              </w:rPr>
              <w:t>MISS</w:t>
            </w:r>
            <w:r w:rsidRPr="00CF4C67">
              <w:rPr>
                <w:rFonts w:ascii="Arial" w:hAnsi="Arial" w:cs="Arial"/>
                <w:color w:val="000000"/>
                <w:sz w:val="16"/>
                <w:szCs w:val="16"/>
              </w:rPr>
              <w:t>), Impossible (</w:t>
            </w:r>
            <w:r w:rsidRPr="00CF4C67">
              <w:rPr>
                <w:rFonts w:ascii="Arial" w:hAnsi="Arial" w:cs="Arial"/>
                <w:b/>
                <w:bCs/>
                <w:color w:val="000000"/>
                <w:sz w:val="16"/>
                <w:szCs w:val="16"/>
              </w:rPr>
              <w:t>IM</w:t>
            </w:r>
            <w:r w:rsidRPr="00CF4C67">
              <w:rPr>
                <w:rFonts w:ascii="Arial" w:hAnsi="Arial" w:cs="Arial"/>
                <w:color w:val="000000"/>
                <w:sz w:val="16"/>
                <w:szCs w:val="16"/>
              </w:rPr>
              <w:t xml:space="preserve">), or no uncertainty in the variable </w:t>
            </w:r>
            <w:proofErr w:type="gramStart"/>
            <w:r w:rsidRPr="00CF4C67">
              <w:rPr>
                <w:rFonts w:ascii="Arial" w:hAnsi="Arial" w:cs="Arial"/>
                <w:color w:val="000000"/>
                <w:sz w:val="16"/>
                <w:szCs w:val="16"/>
              </w:rPr>
              <w:t>i.e.</w:t>
            </w:r>
            <w:proofErr w:type="gramEnd"/>
            <w:r w:rsidRPr="00CF4C67">
              <w:rPr>
                <w:rFonts w:ascii="Arial" w:hAnsi="Arial" w:cs="Arial"/>
                <w:color w:val="000000"/>
                <w:sz w:val="16"/>
                <w:szCs w:val="16"/>
              </w:rPr>
              <w:t xml:space="preserve"> uncertainty is not relevant for this variable (</w:t>
            </w:r>
            <w:r w:rsidRPr="00CF4C67">
              <w:rPr>
                <w:rFonts w:ascii="Arial" w:hAnsi="Arial" w:cs="Arial"/>
                <w:b/>
                <w:bCs/>
                <w:color w:val="000000"/>
                <w:sz w:val="16"/>
                <w:szCs w:val="16"/>
              </w:rPr>
              <w:t>NU</w:t>
            </w:r>
            <w:r w:rsidRPr="00CF4C67">
              <w:rPr>
                <w:rFonts w:ascii="Arial" w:hAnsi="Arial" w:cs="Arial"/>
                <w:color w:val="000000"/>
                <w:sz w:val="16"/>
                <w:szCs w:val="16"/>
              </w:rPr>
              <w:t xml:space="preserve">), I expect NU to be rare, </w:t>
            </w:r>
            <w:r w:rsidRPr="00CF4C67">
              <w:rPr>
                <w:rFonts w:ascii="Arial" w:hAnsi="Arial" w:cs="Arial"/>
                <w:b/>
                <w:bCs/>
                <w:color w:val="000000"/>
                <w:sz w:val="16"/>
                <w:szCs w:val="16"/>
              </w:rPr>
              <w:t xml:space="preserve">Not propagated </w:t>
            </w:r>
            <w:r w:rsidRPr="00CF4C67">
              <w:rPr>
                <w:rFonts w:ascii="Arial" w:hAnsi="Arial" w:cs="Arial"/>
                <w:color w:val="000000"/>
                <w:sz w:val="16"/>
                <w:szCs w:val="16"/>
              </w:rPr>
              <w:t>(if mentioned elsewhere but not included in model)</w:t>
            </w:r>
          </w:p>
        </w:tc>
        <w:tc>
          <w:tcPr>
            <w:tcW w:w="1268" w:type="dxa"/>
            <w:tcMar>
              <w:top w:w="0" w:type="dxa"/>
              <w:left w:w="45" w:type="dxa"/>
              <w:bottom w:w="0" w:type="dxa"/>
              <w:right w:w="45" w:type="dxa"/>
            </w:tcMar>
            <w:vAlign w:val="center"/>
            <w:hideMark/>
          </w:tcPr>
          <w:p w14:paraId="450A07B5"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b/>
                <w:bCs/>
                <w:color w:val="000000"/>
                <w:sz w:val="16"/>
                <w:szCs w:val="16"/>
              </w:rPr>
              <w:t>Main</w:t>
            </w:r>
            <w:r w:rsidRPr="00CF4C67">
              <w:rPr>
                <w:rFonts w:ascii="Arial" w:hAnsi="Arial" w:cs="Arial"/>
                <w:color w:val="000000"/>
                <w:sz w:val="16"/>
                <w:szCs w:val="16"/>
              </w:rPr>
              <w:t xml:space="preserve"> = in the main article, </w:t>
            </w:r>
            <w:r w:rsidRPr="00CF4C67">
              <w:rPr>
                <w:rFonts w:ascii="Arial" w:hAnsi="Arial" w:cs="Arial"/>
                <w:b/>
                <w:bCs/>
                <w:color w:val="000000"/>
                <w:sz w:val="16"/>
                <w:szCs w:val="16"/>
              </w:rPr>
              <w:t>SI</w:t>
            </w:r>
            <w:r w:rsidRPr="00CF4C67">
              <w:rPr>
                <w:rFonts w:ascii="Arial" w:hAnsi="Arial" w:cs="Arial"/>
                <w:color w:val="000000"/>
                <w:sz w:val="16"/>
                <w:szCs w:val="16"/>
              </w:rPr>
              <w:t xml:space="preserve"> = in supporting information or appendix, </w:t>
            </w:r>
            <w:r w:rsidRPr="00CF4C67">
              <w:rPr>
                <w:rFonts w:ascii="Arial" w:hAnsi="Arial" w:cs="Arial"/>
                <w:b/>
                <w:bCs/>
                <w:color w:val="000000"/>
                <w:sz w:val="16"/>
                <w:szCs w:val="16"/>
              </w:rPr>
              <w:t>Data</w:t>
            </w:r>
            <w:r w:rsidRPr="00CF4C67">
              <w:rPr>
                <w:rFonts w:ascii="Arial" w:hAnsi="Arial" w:cs="Arial"/>
                <w:color w:val="000000"/>
                <w:sz w:val="16"/>
                <w:szCs w:val="16"/>
              </w:rPr>
              <w:t xml:space="preserve"> = with a data publication</w:t>
            </w:r>
            <w:r w:rsidRPr="00CF4C67">
              <w:rPr>
                <w:rFonts w:ascii="Arial" w:hAnsi="Arial" w:cs="Arial"/>
                <w:color w:val="000000"/>
                <w:sz w:val="16"/>
                <w:szCs w:val="16"/>
                <w:lang w:val="en-GB"/>
              </w:rPr>
              <w:t xml:space="preserve">, </w:t>
            </w:r>
            <w:r w:rsidRPr="00CF4C67">
              <w:rPr>
                <w:rFonts w:ascii="Arial" w:hAnsi="Arial" w:cs="Arial"/>
                <w:b/>
                <w:bCs/>
                <w:color w:val="000000"/>
                <w:sz w:val="16"/>
                <w:szCs w:val="16"/>
              </w:rPr>
              <w:t>Citation</w:t>
            </w:r>
            <w:r w:rsidRPr="00CF4C67">
              <w:rPr>
                <w:rFonts w:ascii="Arial" w:hAnsi="Arial" w:cs="Arial"/>
                <w:color w:val="000000"/>
                <w:sz w:val="16"/>
                <w:szCs w:val="16"/>
              </w:rPr>
              <w:t xml:space="preserve"> = in another paper that is cited (for citation the focal paper must indicate the uncertainty is reported at the citation </w:t>
            </w:r>
            <w:proofErr w:type="gramStart"/>
            <w:r w:rsidRPr="00CF4C67">
              <w:rPr>
                <w:rFonts w:ascii="Arial" w:hAnsi="Arial" w:cs="Arial"/>
                <w:color w:val="000000"/>
                <w:sz w:val="16"/>
                <w:szCs w:val="16"/>
              </w:rPr>
              <w:t>and also</w:t>
            </w:r>
            <w:proofErr w:type="gramEnd"/>
            <w:r w:rsidRPr="00CF4C67">
              <w:rPr>
                <w:rFonts w:ascii="Arial" w:hAnsi="Arial" w:cs="Arial"/>
                <w:color w:val="000000"/>
                <w:sz w:val="16"/>
                <w:szCs w:val="16"/>
              </w:rPr>
              <w:t xml:space="preserve"> use it in the model.  </w:t>
            </w:r>
          </w:p>
          <w:p w14:paraId="2CD69335" w14:textId="77777777" w:rsidR="008354E8" w:rsidRPr="00CF4C67" w:rsidRDefault="008354E8" w:rsidP="00C21C70">
            <w:pPr>
              <w:rPr>
                <w:sz w:val="16"/>
                <w:szCs w:val="16"/>
              </w:rPr>
            </w:pPr>
          </w:p>
          <w:p w14:paraId="3EDA13AC" w14:textId="77777777" w:rsidR="008354E8" w:rsidRPr="00CF4C67" w:rsidRDefault="008354E8" w:rsidP="00C21C70">
            <w:pPr>
              <w:pStyle w:val="NormalWeb"/>
              <w:spacing w:before="0" w:beforeAutospacing="0" w:after="0" w:afterAutospacing="0"/>
              <w:rPr>
                <w:rFonts w:ascii="Arial" w:hAnsi="Arial" w:cs="Arial"/>
                <w:color w:val="000000"/>
                <w:sz w:val="16"/>
                <w:szCs w:val="16"/>
              </w:rPr>
            </w:pPr>
            <w:r w:rsidRPr="00CF4C67">
              <w:rPr>
                <w:rFonts w:ascii="Arial" w:hAnsi="Arial" w:cs="Arial"/>
                <w:color w:val="000000"/>
                <w:sz w:val="16"/>
                <w:szCs w:val="16"/>
              </w:rPr>
              <w:t>Only give one answer: I</w:t>
            </w:r>
            <w:r w:rsidRPr="00CF4C67">
              <w:rPr>
                <w:rFonts w:ascii="Arial" w:hAnsi="Arial" w:cs="Arial"/>
                <w:color w:val="000000"/>
                <w:sz w:val="16"/>
                <w:szCs w:val="16"/>
                <w:lang w:val="en-GB"/>
              </w:rPr>
              <w:t>f</w:t>
            </w:r>
            <w:r w:rsidRPr="00CF4C67">
              <w:rPr>
                <w:rFonts w:ascii="Arial" w:hAnsi="Arial" w:cs="Arial"/>
                <w:color w:val="000000"/>
                <w:sz w:val="16"/>
                <w:szCs w:val="16"/>
              </w:rPr>
              <w:t xml:space="preserve"> multiple apply default to the most accessible (</w:t>
            </w:r>
            <w:proofErr w:type="gramStart"/>
            <w:r w:rsidRPr="00CF4C67">
              <w:rPr>
                <w:rFonts w:ascii="Arial" w:hAnsi="Arial" w:cs="Arial"/>
                <w:color w:val="000000"/>
                <w:sz w:val="16"/>
                <w:szCs w:val="16"/>
              </w:rPr>
              <w:t>i.e.</w:t>
            </w:r>
            <w:proofErr w:type="gramEnd"/>
            <w:r w:rsidRPr="00CF4C67">
              <w:rPr>
                <w:rFonts w:ascii="Arial" w:hAnsi="Arial" w:cs="Arial"/>
                <w:color w:val="000000"/>
                <w:sz w:val="16"/>
                <w:szCs w:val="16"/>
              </w:rPr>
              <w:t xml:space="preserve"> in order presented here)</w:t>
            </w:r>
          </w:p>
          <w:p w14:paraId="4F3188E5" w14:textId="77777777" w:rsidR="008354E8" w:rsidRPr="00CF4C67" w:rsidRDefault="008354E8" w:rsidP="00C21C70">
            <w:pPr>
              <w:pStyle w:val="NormalWeb"/>
              <w:spacing w:before="0" w:beforeAutospacing="0" w:after="0" w:afterAutospacing="0"/>
              <w:rPr>
                <w:sz w:val="16"/>
                <w:szCs w:val="16"/>
              </w:rPr>
            </w:pPr>
          </w:p>
          <w:p w14:paraId="3A5DAA1C" w14:textId="77777777" w:rsidR="008354E8" w:rsidRPr="00CF4C67" w:rsidRDefault="008354E8" w:rsidP="00C21C70">
            <w:pPr>
              <w:pStyle w:val="NormalWeb"/>
              <w:spacing w:before="0" w:beforeAutospacing="0" w:after="0" w:afterAutospacing="0"/>
              <w:rPr>
                <w:sz w:val="16"/>
                <w:szCs w:val="16"/>
              </w:rPr>
            </w:pPr>
          </w:p>
        </w:tc>
        <w:tc>
          <w:tcPr>
            <w:tcW w:w="1132" w:type="dxa"/>
            <w:tcMar>
              <w:top w:w="0" w:type="dxa"/>
              <w:left w:w="45" w:type="dxa"/>
              <w:bottom w:w="0" w:type="dxa"/>
              <w:right w:w="45" w:type="dxa"/>
            </w:tcMar>
            <w:vAlign w:val="center"/>
            <w:hideMark/>
          </w:tcPr>
          <w:p w14:paraId="3653C3BF" w14:textId="77777777" w:rsidR="008354E8" w:rsidRPr="00CF4C67" w:rsidRDefault="008354E8" w:rsidP="00C21C70">
            <w:pPr>
              <w:pStyle w:val="NormalWeb"/>
              <w:spacing w:before="0" w:beforeAutospacing="0" w:after="0" w:afterAutospacing="0"/>
              <w:rPr>
                <w:rFonts w:ascii="Arial" w:hAnsi="Arial" w:cs="Arial"/>
                <w:color w:val="000000"/>
                <w:sz w:val="16"/>
                <w:szCs w:val="16"/>
              </w:rPr>
            </w:pPr>
            <w:r w:rsidRPr="00CF4C67">
              <w:rPr>
                <w:rFonts w:ascii="Arial" w:hAnsi="Arial" w:cs="Arial"/>
                <w:color w:val="000000"/>
                <w:sz w:val="16"/>
                <w:szCs w:val="16"/>
              </w:rPr>
              <w:t xml:space="preserve">Here give details of how it was reported </w:t>
            </w:r>
            <w:proofErr w:type="gramStart"/>
            <w:r w:rsidRPr="00CF4C67">
              <w:rPr>
                <w:rFonts w:ascii="Arial" w:hAnsi="Arial" w:cs="Arial"/>
                <w:color w:val="000000"/>
                <w:sz w:val="16"/>
                <w:szCs w:val="16"/>
              </w:rPr>
              <w:t>e.g.</w:t>
            </w:r>
            <w:proofErr w:type="gramEnd"/>
            <w:r w:rsidRPr="00CF4C67">
              <w:rPr>
                <w:rFonts w:ascii="Arial" w:hAnsi="Arial" w:cs="Arial"/>
                <w:color w:val="000000"/>
                <w:sz w:val="16"/>
                <w:szCs w:val="16"/>
              </w:rPr>
              <w:t xml:space="preserve"> </w:t>
            </w:r>
            <w:r w:rsidRPr="00CF4C67">
              <w:rPr>
                <w:rFonts w:ascii="Arial" w:hAnsi="Arial" w:cs="Arial"/>
                <w:b/>
                <w:bCs/>
                <w:color w:val="000000"/>
                <w:sz w:val="16"/>
                <w:szCs w:val="16"/>
              </w:rPr>
              <w:t>visual</w:t>
            </w:r>
            <w:r w:rsidRPr="00CF4C67">
              <w:rPr>
                <w:rFonts w:ascii="Arial" w:hAnsi="Arial" w:cs="Arial"/>
                <w:color w:val="000000"/>
                <w:sz w:val="16"/>
                <w:szCs w:val="16"/>
              </w:rPr>
              <w:t xml:space="preserve"> (in a figure), </w:t>
            </w:r>
            <w:r w:rsidRPr="00CF4C67">
              <w:rPr>
                <w:rFonts w:ascii="Arial" w:hAnsi="Arial" w:cs="Arial"/>
                <w:b/>
                <w:bCs/>
                <w:color w:val="000000"/>
                <w:sz w:val="16"/>
                <w:szCs w:val="16"/>
              </w:rPr>
              <w:t>text</w:t>
            </w:r>
            <w:r w:rsidRPr="00CF4C67">
              <w:rPr>
                <w:rFonts w:ascii="Arial" w:hAnsi="Arial" w:cs="Arial"/>
                <w:color w:val="000000"/>
                <w:sz w:val="16"/>
                <w:szCs w:val="16"/>
              </w:rPr>
              <w:t xml:space="preserve"> (in the main text as words - this can just be authors saying “we did X to quantify uncertainty in Y” but never giving a number), </w:t>
            </w:r>
            <w:r w:rsidRPr="00CF4C67">
              <w:rPr>
                <w:rFonts w:ascii="Arial" w:hAnsi="Arial" w:cs="Arial"/>
                <w:b/>
                <w:bCs/>
                <w:color w:val="000000"/>
                <w:sz w:val="16"/>
                <w:szCs w:val="16"/>
              </w:rPr>
              <w:t>numeric</w:t>
            </w:r>
            <w:r w:rsidRPr="00CF4C67">
              <w:rPr>
                <w:rFonts w:ascii="Arial" w:hAnsi="Arial" w:cs="Arial"/>
                <w:color w:val="000000"/>
                <w:sz w:val="16"/>
                <w:szCs w:val="16"/>
              </w:rPr>
              <w:t xml:space="preserve"> (as a number either in a table or text), other.</w:t>
            </w:r>
          </w:p>
          <w:p w14:paraId="46894C7B" w14:textId="77777777" w:rsidR="008354E8" w:rsidRPr="00CF4C67" w:rsidRDefault="008354E8" w:rsidP="00C21C70">
            <w:pPr>
              <w:pStyle w:val="NormalWeb"/>
              <w:spacing w:before="0" w:beforeAutospacing="0" w:after="0" w:afterAutospacing="0"/>
              <w:rPr>
                <w:sz w:val="16"/>
                <w:szCs w:val="16"/>
              </w:rPr>
            </w:pPr>
          </w:p>
          <w:p w14:paraId="1C47D936"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 xml:space="preserve">Combinations can be used </w:t>
            </w:r>
            <w:proofErr w:type="gramStart"/>
            <w:r w:rsidRPr="00CF4C67">
              <w:rPr>
                <w:rFonts w:ascii="Arial" w:hAnsi="Arial" w:cs="Arial"/>
                <w:color w:val="000000"/>
                <w:sz w:val="16"/>
                <w:szCs w:val="16"/>
              </w:rPr>
              <w:t>e.g.</w:t>
            </w:r>
            <w:proofErr w:type="gramEnd"/>
            <w:r w:rsidRPr="00CF4C67">
              <w:rPr>
                <w:rFonts w:ascii="Arial" w:hAnsi="Arial" w:cs="Arial"/>
                <w:color w:val="000000"/>
                <w:sz w:val="16"/>
                <w:szCs w:val="16"/>
              </w:rPr>
              <w:t xml:space="preserve"> </w:t>
            </w:r>
            <w:proofErr w:type="spellStart"/>
            <w:r w:rsidRPr="00CF4C67">
              <w:rPr>
                <w:rFonts w:ascii="Arial" w:hAnsi="Arial" w:cs="Arial"/>
                <w:color w:val="000000"/>
                <w:sz w:val="16"/>
                <w:szCs w:val="16"/>
              </w:rPr>
              <w:t>visualnumeric</w:t>
            </w:r>
            <w:proofErr w:type="spellEnd"/>
            <w:r w:rsidRPr="00CF4C67">
              <w:rPr>
                <w:rFonts w:ascii="Arial" w:hAnsi="Arial" w:cs="Arial"/>
                <w:color w:val="000000"/>
                <w:sz w:val="16"/>
                <w:szCs w:val="16"/>
              </w:rPr>
              <w:t xml:space="preserve"> or </w:t>
            </w:r>
            <w:proofErr w:type="spellStart"/>
            <w:r w:rsidRPr="00CF4C67">
              <w:rPr>
                <w:rFonts w:ascii="Arial" w:hAnsi="Arial" w:cs="Arial"/>
                <w:color w:val="000000"/>
                <w:sz w:val="16"/>
                <w:szCs w:val="16"/>
              </w:rPr>
              <w:t>visualtext</w:t>
            </w:r>
            <w:proofErr w:type="spellEnd"/>
            <w:r w:rsidRPr="00CF4C67">
              <w:rPr>
                <w:rFonts w:ascii="Arial" w:hAnsi="Arial" w:cs="Arial"/>
                <w:color w:val="000000"/>
                <w:sz w:val="16"/>
                <w:szCs w:val="16"/>
              </w:rPr>
              <w:t xml:space="preserve">. Please stay in order of </w:t>
            </w:r>
            <w:r w:rsidRPr="00CF4C67">
              <w:rPr>
                <w:rFonts w:ascii="Arial" w:hAnsi="Arial" w:cs="Arial"/>
                <w:b/>
                <w:bCs/>
                <w:color w:val="000000"/>
                <w:sz w:val="16"/>
                <w:szCs w:val="16"/>
              </w:rPr>
              <w:t>visual, text, numeric</w:t>
            </w:r>
            <w:r w:rsidRPr="00CF4C67">
              <w:rPr>
                <w:rFonts w:ascii="Arial" w:hAnsi="Arial" w:cs="Arial"/>
                <w:color w:val="000000"/>
                <w:sz w:val="16"/>
                <w:szCs w:val="16"/>
              </w:rPr>
              <w:t> </w:t>
            </w:r>
          </w:p>
          <w:p w14:paraId="0B64ADE2" w14:textId="77777777" w:rsidR="008354E8" w:rsidRPr="00CF4C67" w:rsidRDefault="008354E8" w:rsidP="00C21C70">
            <w:pPr>
              <w:rPr>
                <w:sz w:val="16"/>
                <w:szCs w:val="16"/>
              </w:rPr>
            </w:pPr>
          </w:p>
          <w:p w14:paraId="306F7299" w14:textId="77777777" w:rsidR="008354E8" w:rsidRPr="00CF4C67" w:rsidRDefault="008354E8" w:rsidP="00C21C70">
            <w:pPr>
              <w:pStyle w:val="NormalWeb"/>
              <w:spacing w:before="0" w:beforeAutospacing="0" w:after="0" w:afterAutospacing="0"/>
              <w:rPr>
                <w:sz w:val="16"/>
                <w:szCs w:val="16"/>
                <w:lang w:val="en-GB"/>
              </w:rPr>
            </w:pPr>
            <w:r w:rsidRPr="00CF4C67">
              <w:rPr>
                <w:rFonts w:ascii="Arial" w:hAnsi="Arial" w:cs="Arial"/>
                <w:color w:val="000000"/>
                <w:sz w:val="16"/>
                <w:szCs w:val="16"/>
                <w:lang w:val="en-GB"/>
              </w:rPr>
              <w:t xml:space="preserve">Report </w:t>
            </w:r>
            <w:r w:rsidRPr="00CF4C67">
              <w:rPr>
                <w:rFonts w:ascii="Arial" w:hAnsi="Arial" w:cs="Arial"/>
                <w:b/>
                <w:bCs/>
                <w:color w:val="000000"/>
                <w:sz w:val="16"/>
                <w:szCs w:val="16"/>
                <w:lang w:val="en-GB"/>
              </w:rPr>
              <w:t>all</w:t>
            </w:r>
            <w:r w:rsidRPr="00CF4C67">
              <w:rPr>
                <w:rFonts w:ascii="Arial" w:hAnsi="Arial" w:cs="Arial"/>
                <w:color w:val="000000"/>
                <w:sz w:val="16"/>
                <w:szCs w:val="16"/>
                <w:lang w:val="en-GB"/>
              </w:rPr>
              <w:t xml:space="preserve"> presentation techniques used.</w:t>
            </w:r>
          </w:p>
          <w:p w14:paraId="3E8C139A" w14:textId="77777777" w:rsidR="008354E8" w:rsidRPr="00CF4C67" w:rsidRDefault="008354E8" w:rsidP="00C21C70">
            <w:pPr>
              <w:rPr>
                <w:sz w:val="16"/>
                <w:szCs w:val="16"/>
              </w:rPr>
            </w:pPr>
          </w:p>
          <w:p w14:paraId="1ED8C161"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themeColor="text1"/>
                <w:sz w:val="16"/>
                <w:szCs w:val="16"/>
              </w:rPr>
              <w:t>Make sure text is selected if the authors write something like “we account for uncertainty in X with Y” just saying we ran a model is not enough for text.</w:t>
            </w:r>
          </w:p>
          <w:p w14:paraId="7C7F762F" w14:textId="77777777" w:rsidR="008354E8" w:rsidRPr="00CF4C67" w:rsidRDefault="008354E8" w:rsidP="00C21C70">
            <w:pPr>
              <w:rPr>
                <w:sz w:val="16"/>
                <w:szCs w:val="16"/>
              </w:rPr>
            </w:pPr>
          </w:p>
          <w:p w14:paraId="40E5E202" w14:textId="77777777" w:rsidR="008354E8" w:rsidRPr="00CF4C67" w:rsidRDefault="008354E8" w:rsidP="00C21C70">
            <w:pPr>
              <w:pStyle w:val="NormalWeb"/>
              <w:spacing w:before="0" w:after="0"/>
              <w:rPr>
                <w:sz w:val="16"/>
                <w:szCs w:val="16"/>
              </w:rPr>
            </w:pPr>
          </w:p>
        </w:tc>
        <w:tc>
          <w:tcPr>
            <w:tcW w:w="1266" w:type="dxa"/>
            <w:vMerge w:val="restart"/>
            <w:tcMar>
              <w:top w:w="0" w:type="dxa"/>
              <w:left w:w="45" w:type="dxa"/>
              <w:bottom w:w="0" w:type="dxa"/>
              <w:right w:w="45" w:type="dxa"/>
            </w:tcMar>
            <w:vAlign w:val="center"/>
            <w:hideMark/>
          </w:tcPr>
          <w:p w14:paraId="4E1C4729" w14:textId="77777777" w:rsidR="008354E8" w:rsidRPr="00CF4C67" w:rsidRDefault="008354E8" w:rsidP="00C21C70">
            <w:pPr>
              <w:pStyle w:val="NormalWeb"/>
              <w:spacing w:before="0" w:beforeAutospacing="0" w:after="0" w:afterAutospacing="0"/>
              <w:jc w:val="center"/>
              <w:rPr>
                <w:sz w:val="16"/>
                <w:szCs w:val="16"/>
              </w:rPr>
            </w:pPr>
            <w:r w:rsidRPr="00CF4C67">
              <w:rPr>
                <w:rFonts w:ascii="Arial" w:hAnsi="Arial" w:cs="Arial"/>
                <w:color w:val="000000"/>
                <w:sz w:val="16"/>
                <w:szCs w:val="16"/>
              </w:rPr>
              <w:t>Only answer in this first row for the whole model:</w:t>
            </w:r>
          </w:p>
          <w:p w14:paraId="2DE2C0F8" w14:textId="77777777" w:rsidR="008354E8" w:rsidRPr="00CF4C67" w:rsidRDefault="008354E8" w:rsidP="00C21C70">
            <w:pPr>
              <w:rPr>
                <w:sz w:val="16"/>
                <w:szCs w:val="16"/>
              </w:rPr>
            </w:pPr>
          </w:p>
          <w:p w14:paraId="6F11B219" w14:textId="384A81B9" w:rsidR="008354E8" w:rsidRPr="00CF4C67" w:rsidRDefault="008354E8" w:rsidP="00C21C70">
            <w:pPr>
              <w:pStyle w:val="NormalWeb"/>
              <w:spacing w:before="0" w:beforeAutospacing="0" w:after="0" w:afterAutospacing="0"/>
              <w:jc w:val="center"/>
              <w:rPr>
                <w:sz w:val="16"/>
                <w:szCs w:val="16"/>
              </w:rPr>
            </w:pPr>
            <w:r w:rsidRPr="00CF4C67">
              <w:rPr>
                <w:rFonts w:ascii="Arial" w:hAnsi="Arial" w:cs="Arial"/>
                <w:color w:val="000000"/>
                <w:sz w:val="16"/>
                <w:szCs w:val="16"/>
              </w:rPr>
              <w:t> qualitative, dynamical,</w:t>
            </w:r>
            <w:r w:rsidR="009779A7">
              <w:rPr>
                <w:rFonts w:ascii="Arial" w:hAnsi="Arial" w:cs="Arial"/>
                <w:color w:val="000000"/>
                <w:sz w:val="16"/>
                <w:szCs w:val="16"/>
              </w:rPr>
              <w:t xml:space="preserve"> mechanistic,</w:t>
            </w:r>
            <w:r w:rsidRPr="00CF4C67">
              <w:rPr>
                <w:rFonts w:ascii="Arial" w:hAnsi="Arial" w:cs="Arial"/>
                <w:color w:val="000000"/>
                <w:sz w:val="16"/>
                <w:szCs w:val="16"/>
              </w:rPr>
              <w:t xml:space="preserve"> statistical, theoretical</w:t>
            </w:r>
          </w:p>
          <w:p w14:paraId="14EA5847" w14:textId="77777777" w:rsidR="008354E8" w:rsidRPr="00CF4C67" w:rsidRDefault="008354E8" w:rsidP="00C21C70">
            <w:pPr>
              <w:pStyle w:val="NormalWeb"/>
              <w:spacing w:before="0" w:after="0"/>
              <w:rPr>
                <w:sz w:val="16"/>
                <w:szCs w:val="16"/>
              </w:rPr>
            </w:pPr>
          </w:p>
        </w:tc>
      </w:tr>
      <w:tr w:rsidR="00F82C75" w:rsidRPr="00CF4C67" w14:paraId="698964BD" w14:textId="77777777" w:rsidTr="00C21C70">
        <w:trPr>
          <w:trHeight w:val="6609"/>
        </w:trPr>
        <w:tc>
          <w:tcPr>
            <w:tcW w:w="0" w:type="auto"/>
            <w:shd w:val="clear" w:color="auto" w:fill="D9D9D9"/>
            <w:vAlign w:val="center"/>
          </w:tcPr>
          <w:p w14:paraId="03A33704" w14:textId="77777777" w:rsidR="008354E8" w:rsidRPr="00CF4C67" w:rsidRDefault="008354E8" w:rsidP="00C21C70">
            <w:pPr>
              <w:pStyle w:val="NormalWeb"/>
              <w:spacing w:before="0" w:beforeAutospacing="0" w:after="0" w:afterAutospacing="0"/>
              <w:jc w:val="center"/>
              <w:rPr>
                <w:rFonts w:ascii="Arial" w:hAnsi="Arial" w:cs="Arial"/>
                <w:b/>
                <w:bCs/>
                <w:color w:val="000000" w:themeColor="text1"/>
                <w:sz w:val="16"/>
                <w:szCs w:val="16"/>
                <w:lang w:val="en-GB"/>
              </w:rPr>
            </w:pPr>
            <w:r w:rsidRPr="00CF4C67">
              <w:rPr>
                <w:rFonts w:ascii="Arial" w:hAnsi="Arial" w:cs="Arial"/>
                <w:b/>
                <w:bCs/>
                <w:color w:val="000000" w:themeColor="text1"/>
                <w:sz w:val="16"/>
                <w:szCs w:val="16"/>
                <w:lang w:val="en-GB"/>
              </w:rPr>
              <w:lastRenderedPageBreak/>
              <w:t>2</w:t>
            </w:r>
          </w:p>
        </w:tc>
        <w:tc>
          <w:tcPr>
            <w:tcW w:w="1137" w:type="dxa"/>
            <w:shd w:val="clear" w:color="auto" w:fill="D9D9D9"/>
            <w:tcMar>
              <w:top w:w="0" w:type="dxa"/>
              <w:left w:w="45" w:type="dxa"/>
              <w:bottom w:w="0" w:type="dxa"/>
              <w:right w:w="45" w:type="dxa"/>
            </w:tcMar>
            <w:vAlign w:val="center"/>
            <w:hideMark/>
          </w:tcPr>
          <w:p w14:paraId="27823426"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themeColor="text1"/>
                <w:sz w:val="16"/>
                <w:szCs w:val="16"/>
              </w:rPr>
              <w:t xml:space="preserve">Is the uncertainty in the explanatory variables included in the focal model? </w:t>
            </w:r>
          </w:p>
        </w:tc>
        <w:tc>
          <w:tcPr>
            <w:tcW w:w="1620" w:type="dxa"/>
            <w:shd w:val="clear" w:color="auto" w:fill="D8D8D8"/>
            <w:tcMar>
              <w:top w:w="0" w:type="dxa"/>
              <w:left w:w="45" w:type="dxa"/>
              <w:bottom w:w="0" w:type="dxa"/>
              <w:right w:w="45" w:type="dxa"/>
            </w:tcMar>
            <w:vAlign w:val="center"/>
            <w:hideMark/>
          </w:tcPr>
          <w:p w14:paraId="49176946" w14:textId="77777777" w:rsidR="008354E8" w:rsidRPr="00CF4C67" w:rsidRDefault="008354E8" w:rsidP="00C21C70">
            <w:pPr>
              <w:pStyle w:val="NormalWeb"/>
              <w:spacing w:before="0" w:beforeAutospacing="0" w:after="0" w:afterAutospacing="0"/>
              <w:rPr>
                <w:color w:val="000000" w:themeColor="text1"/>
                <w:sz w:val="16"/>
                <w:szCs w:val="16"/>
                <w:lang w:val="en-GB"/>
              </w:rPr>
            </w:pPr>
            <w:r w:rsidRPr="00CF4C67">
              <w:rPr>
                <w:rFonts w:ascii="Arial" w:hAnsi="Arial" w:cs="Arial"/>
                <w:color w:val="000000" w:themeColor="text1"/>
                <w:sz w:val="16"/>
                <w:szCs w:val="16"/>
              </w:rPr>
              <w:t>This question asks you to focus on the explanatory variables of the model you are assessing and report if any uncertainty is included</w:t>
            </w:r>
            <w:r w:rsidRPr="00CF4C67">
              <w:rPr>
                <w:rFonts w:ascii="Arial" w:hAnsi="Arial" w:cs="Arial"/>
                <w:color w:val="000000" w:themeColor="text1"/>
                <w:sz w:val="16"/>
                <w:szCs w:val="16"/>
                <w:lang w:val="en-GB"/>
              </w:rPr>
              <w:t xml:space="preserve"> </w:t>
            </w:r>
            <w:r w:rsidRPr="00CF4C67">
              <w:rPr>
                <w:rFonts w:ascii="Arial" w:hAnsi="Arial" w:cs="Arial"/>
                <w:color w:val="000000" w:themeColor="text1"/>
                <w:sz w:val="16"/>
                <w:szCs w:val="16"/>
              </w:rPr>
              <w:t>and reported in some way</w:t>
            </w:r>
          </w:p>
          <w:p w14:paraId="222E899C" w14:textId="77777777" w:rsidR="008354E8" w:rsidRPr="00CF4C67" w:rsidRDefault="008354E8" w:rsidP="00C21C70">
            <w:pPr>
              <w:pStyle w:val="NormalWeb"/>
              <w:spacing w:before="0" w:after="0"/>
              <w:rPr>
                <w:color w:val="000000" w:themeColor="text1"/>
                <w:sz w:val="16"/>
                <w:szCs w:val="16"/>
              </w:rPr>
            </w:pPr>
          </w:p>
        </w:tc>
        <w:tc>
          <w:tcPr>
            <w:tcW w:w="1787" w:type="dxa"/>
            <w:tcMar>
              <w:top w:w="0" w:type="dxa"/>
              <w:left w:w="45" w:type="dxa"/>
              <w:bottom w:w="0" w:type="dxa"/>
              <w:right w:w="45" w:type="dxa"/>
            </w:tcMar>
            <w:vAlign w:val="center"/>
            <w:hideMark/>
          </w:tcPr>
          <w:p w14:paraId="6E61DDB7" w14:textId="77777777" w:rsidR="008354E8" w:rsidRPr="00CF4C67" w:rsidRDefault="008354E8" w:rsidP="00C21C70">
            <w:pPr>
              <w:pStyle w:val="NormalWeb"/>
              <w:spacing w:before="0" w:beforeAutospacing="0" w:after="0" w:afterAutospacing="0"/>
              <w:rPr>
                <w:color w:val="000000" w:themeColor="text1"/>
                <w:sz w:val="16"/>
                <w:szCs w:val="16"/>
              </w:rPr>
            </w:pPr>
            <w:r w:rsidRPr="00CF4C67">
              <w:rPr>
                <w:rFonts w:ascii="Arial" w:hAnsi="Arial" w:cs="Arial"/>
                <w:b/>
                <w:bCs/>
                <w:color w:val="000000" w:themeColor="text1"/>
                <w:sz w:val="16"/>
                <w:szCs w:val="16"/>
              </w:rPr>
              <w:t>Yes/No/NA</w:t>
            </w:r>
          </w:p>
          <w:p w14:paraId="3B83B097" w14:textId="77777777" w:rsidR="008354E8" w:rsidRPr="00CF4C67" w:rsidRDefault="008354E8" w:rsidP="00C21C70">
            <w:pPr>
              <w:rPr>
                <w:color w:val="000000" w:themeColor="text1"/>
                <w:sz w:val="16"/>
                <w:szCs w:val="16"/>
              </w:rPr>
            </w:pPr>
          </w:p>
          <w:p w14:paraId="461A551D" w14:textId="77777777" w:rsidR="008354E8" w:rsidRPr="00CF4C67" w:rsidRDefault="008354E8" w:rsidP="00C21C70">
            <w:pPr>
              <w:pStyle w:val="NormalWeb"/>
              <w:spacing w:before="0" w:beforeAutospacing="0" w:after="0" w:afterAutospacing="0"/>
              <w:rPr>
                <w:color w:val="000000" w:themeColor="text1"/>
                <w:sz w:val="16"/>
                <w:szCs w:val="16"/>
              </w:rPr>
            </w:pPr>
            <w:proofErr w:type="gramStart"/>
            <w:r w:rsidRPr="00CF4C67">
              <w:rPr>
                <w:rFonts w:ascii="Arial" w:hAnsi="Arial" w:cs="Arial"/>
                <w:b/>
                <w:bCs/>
                <w:color w:val="000000" w:themeColor="text1"/>
                <w:sz w:val="16"/>
                <w:szCs w:val="16"/>
              </w:rPr>
              <w:t>Yes</w:t>
            </w:r>
            <w:proofErr w:type="gramEnd"/>
            <w:r w:rsidRPr="00CF4C67">
              <w:rPr>
                <w:rFonts w:ascii="Arial" w:hAnsi="Arial" w:cs="Arial"/>
                <w:color w:val="000000" w:themeColor="text1"/>
                <w:sz w:val="16"/>
                <w:szCs w:val="16"/>
              </w:rPr>
              <w:t xml:space="preserve"> if there is uncertainty reported and it is accounted for in the focal model e.g. measurement error is quantified, the variable is corrected and then used in the model. </w:t>
            </w:r>
          </w:p>
          <w:p w14:paraId="7B402594" w14:textId="77777777" w:rsidR="008354E8" w:rsidRPr="00CF4C67" w:rsidRDefault="008354E8" w:rsidP="00C21C70">
            <w:pPr>
              <w:rPr>
                <w:color w:val="000000" w:themeColor="text1"/>
                <w:sz w:val="16"/>
                <w:szCs w:val="16"/>
              </w:rPr>
            </w:pPr>
          </w:p>
          <w:p w14:paraId="66EE9C1E" w14:textId="77777777" w:rsidR="008354E8" w:rsidRPr="00CF4C67" w:rsidRDefault="008354E8" w:rsidP="00C21C70">
            <w:pPr>
              <w:pStyle w:val="NormalWeb"/>
              <w:spacing w:before="0" w:beforeAutospacing="0" w:after="0" w:afterAutospacing="0"/>
              <w:rPr>
                <w:color w:val="000000" w:themeColor="text1"/>
                <w:sz w:val="16"/>
                <w:szCs w:val="16"/>
              </w:rPr>
            </w:pPr>
            <w:r w:rsidRPr="00CF4C67">
              <w:rPr>
                <w:rFonts w:ascii="Arial" w:hAnsi="Arial" w:cs="Arial"/>
                <w:b/>
                <w:bCs/>
                <w:color w:val="000000" w:themeColor="text1"/>
                <w:sz w:val="16"/>
                <w:szCs w:val="16"/>
              </w:rPr>
              <w:t>No</w:t>
            </w:r>
            <w:r w:rsidRPr="00CF4C67">
              <w:rPr>
                <w:rFonts w:ascii="Arial" w:hAnsi="Arial" w:cs="Arial"/>
                <w:color w:val="000000" w:themeColor="text1"/>
                <w:sz w:val="16"/>
                <w:szCs w:val="16"/>
              </w:rPr>
              <w:t xml:space="preserve"> if there is no uncertainty reported and if it is not explicitly accounted for in the model. This should be the answer even if the uncertainty CAN’T be quantified. That will be covered in the </w:t>
            </w:r>
            <w:proofErr w:type="gramStart"/>
            <w:r w:rsidRPr="00CF4C67">
              <w:rPr>
                <w:rFonts w:ascii="Arial" w:hAnsi="Arial" w:cs="Arial"/>
                <w:color w:val="000000" w:themeColor="text1"/>
                <w:sz w:val="16"/>
                <w:szCs w:val="16"/>
              </w:rPr>
              <w:t>details</w:t>
            </w:r>
            <w:proofErr w:type="gramEnd"/>
            <w:r w:rsidRPr="00CF4C67">
              <w:rPr>
                <w:rFonts w:ascii="Arial" w:hAnsi="Arial" w:cs="Arial"/>
                <w:color w:val="000000" w:themeColor="text1"/>
                <w:sz w:val="16"/>
                <w:szCs w:val="16"/>
              </w:rPr>
              <w:t xml:space="preserve"> column.</w:t>
            </w:r>
          </w:p>
          <w:p w14:paraId="6AE826C1" w14:textId="77777777" w:rsidR="008354E8" w:rsidRPr="00CF4C67" w:rsidRDefault="008354E8" w:rsidP="00C21C70">
            <w:pPr>
              <w:rPr>
                <w:color w:val="000000" w:themeColor="text1"/>
                <w:sz w:val="16"/>
                <w:szCs w:val="16"/>
              </w:rPr>
            </w:pPr>
          </w:p>
          <w:p w14:paraId="67239D9E" w14:textId="77777777" w:rsidR="008354E8" w:rsidRPr="00CF4C67" w:rsidRDefault="008354E8" w:rsidP="00C21C70">
            <w:pPr>
              <w:pStyle w:val="NormalWeb"/>
              <w:spacing w:before="0" w:beforeAutospacing="0" w:after="0" w:afterAutospacing="0"/>
              <w:rPr>
                <w:color w:val="000000" w:themeColor="text1"/>
                <w:sz w:val="16"/>
                <w:szCs w:val="16"/>
              </w:rPr>
            </w:pPr>
            <w:r w:rsidRPr="00CF4C67">
              <w:rPr>
                <w:rFonts w:ascii="Arial" w:hAnsi="Arial" w:cs="Arial"/>
                <w:b/>
                <w:bCs/>
                <w:color w:val="000000" w:themeColor="text1"/>
                <w:sz w:val="16"/>
                <w:szCs w:val="16"/>
              </w:rPr>
              <w:t>NA</w:t>
            </w:r>
            <w:r w:rsidRPr="00CF4C67">
              <w:rPr>
                <w:rFonts w:ascii="Arial" w:hAnsi="Arial" w:cs="Arial"/>
                <w:color w:val="000000" w:themeColor="text1"/>
                <w:sz w:val="16"/>
                <w:szCs w:val="16"/>
              </w:rPr>
              <w:t xml:space="preserve"> should be used when the component is not present in the model.</w:t>
            </w:r>
          </w:p>
          <w:p w14:paraId="5C6298A1" w14:textId="77777777" w:rsidR="008354E8" w:rsidRPr="00CF4C67" w:rsidRDefault="008354E8" w:rsidP="00C21C70">
            <w:pPr>
              <w:rPr>
                <w:color w:val="000000" w:themeColor="text1"/>
                <w:sz w:val="16"/>
                <w:szCs w:val="16"/>
              </w:rPr>
            </w:pPr>
          </w:p>
          <w:p w14:paraId="4D863759"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themeColor="text1"/>
                <w:sz w:val="16"/>
                <w:szCs w:val="16"/>
              </w:rPr>
              <w:t xml:space="preserve">If there are multiple explanatory variables and some have uncertainty reported use </w:t>
            </w:r>
            <w:r w:rsidRPr="00CF4C67">
              <w:rPr>
                <w:rFonts w:ascii="Arial" w:hAnsi="Arial" w:cs="Arial"/>
                <w:b/>
                <w:bCs/>
                <w:color w:val="000000" w:themeColor="text1"/>
                <w:sz w:val="16"/>
                <w:szCs w:val="16"/>
              </w:rPr>
              <w:t>Yes</w:t>
            </w:r>
            <w:r w:rsidRPr="00CF4C67">
              <w:rPr>
                <w:rFonts w:ascii="Arial" w:hAnsi="Arial" w:cs="Arial"/>
                <w:color w:val="000000" w:themeColor="text1"/>
                <w:sz w:val="16"/>
                <w:szCs w:val="16"/>
              </w:rPr>
              <w:t xml:space="preserve"> but write </w:t>
            </w:r>
            <w:r w:rsidRPr="00CF4C67">
              <w:rPr>
                <w:rFonts w:ascii="Arial" w:hAnsi="Arial" w:cs="Arial"/>
                <w:b/>
                <w:bCs/>
                <w:color w:val="000000" w:themeColor="text1"/>
                <w:sz w:val="16"/>
                <w:szCs w:val="16"/>
              </w:rPr>
              <w:t>incomplete</w:t>
            </w:r>
            <w:r w:rsidRPr="00CF4C67">
              <w:rPr>
                <w:rFonts w:ascii="Arial" w:hAnsi="Arial" w:cs="Arial"/>
                <w:color w:val="000000" w:themeColor="text1"/>
                <w:sz w:val="16"/>
                <w:szCs w:val="16"/>
              </w:rPr>
              <w:t xml:space="preserve"> in comments. </w:t>
            </w:r>
          </w:p>
        </w:tc>
        <w:tc>
          <w:tcPr>
            <w:tcW w:w="1721" w:type="dxa"/>
            <w:tcMar>
              <w:top w:w="0" w:type="dxa"/>
              <w:left w:w="45" w:type="dxa"/>
              <w:bottom w:w="0" w:type="dxa"/>
              <w:right w:w="45" w:type="dxa"/>
            </w:tcMar>
            <w:vAlign w:val="center"/>
            <w:hideMark/>
          </w:tcPr>
          <w:p w14:paraId="31062986"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I</w:t>
            </w:r>
            <w:r w:rsidRPr="00CF4C67">
              <w:rPr>
                <w:rFonts w:ascii="Arial" w:hAnsi="Arial" w:cs="Arial"/>
                <w:color w:val="000000"/>
                <w:sz w:val="16"/>
                <w:szCs w:val="16"/>
                <w:lang w:val="en-GB"/>
              </w:rPr>
              <w:t>f</w:t>
            </w:r>
            <w:r w:rsidRPr="00CF4C67">
              <w:rPr>
                <w:rFonts w:ascii="Arial" w:hAnsi="Arial" w:cs="Arial"/>
                <w:color w:val="000000"/>
                <w:sz w:val="16"/>
                <w:szCs w:val="16"/>
              </w:rPr>
              <w:t xml:space="preserve"> </w:t>
            </w:r>
            <w:r w:rsidRPr="00CF4C67">
              <w:rPr>
                <w:rFonts w:ascii="Arial" w:hAnsi="Arial" w:cs="Arial"/>
                <w:b/>
                <w:bCs/>
                <w:color w:val="000000"/>
                <w:sz w:val="16"/>
                <w:szCs w:val="16"/>
              </w:rPr>
              <w:t xml:space="preserve">ANSWER = </w:t>
            </w:r>
            <w:proofErr w:type="gramStart"/>
            <w:r w:rsidRPr="00CF4C67">
              <w:rPr>
                <w:rFonts w:ascii="Arial" w:hAnsi="Arial" w:cs="Arial"/>
                <w:b/>
                <w:bCs/>
                <w:color w:val="000000"/>
                <w:sz w:val="16"/>
                <w:szCs w:val="16"/>
              </w:rPr>
              <w:t>Y</w:t>
            </w:r>
            <w:r w:rsidRPr="00CF4C67">
              <w:rPr>
                <w:rFonts w:ascii="Arial" w:hAnsi="Arial" w:cs="Arial"/>
                <w:b/>
                <w:bCs/>
                <w:color w:val="000000"/>
                <w:sz w:val="16"/>
                <w:szCs w:val="16"/>
                <w:lang w:val="en-GB"/>
              </w:rPr>
              <w:t>es</w:t>
            </w:r>
            <w:proofErr w:type="gramEnd"/>
            <w:r w:rsidRPr="00CF4C67">
              <w:rPr>
                <w:rFonts w:ascii="Arial" w:hAnsi="Arial" w:cs="Arial"/>
                <w:color w:val="000000"/>
                <w:sz w:val="16"/>
                <w:szCs w:val="16"/>
              </w:rPr>
              <w:t xml:space="preserve"> this should cover the type of uncertainty</w:t>
            </w:r>
            <w:r w:rsidRPr="00CF4C67">
              <w:rPr>
                <w:rFonts w:ascii="Arial" w:hAnsi="Arial" w:cs="Arial"/>
                <w:color w:val="000000"/>
                <w:sz w:val="16"/>
                <w:szCs w:val="16"/>
                <w:lang w:val="en-GB"/>
              </w:rPr>
              <w:t xml:space="preserve"> that has been reported</w:t>
            </w:r>
            <w:r w:rsidRPr="00CF4C67">
              <w:rPr>
                <w:rFonts w:ascii="Arial" w:hAnsi="Arial" w:cs="Arial"/>
                <w:color w:val="000000"/>
                <w:sz w:val="16"/>
                <w:szCs w:val="16"/>
              </w:rPr>
              <w:t xml:space="preserve"> e.g.</w:t>
            </w:r>
          </w:p>
          <w:p w14:paraId="5473CB80"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Standard error (</w:t>
            </w:r>
            <w:r w:rsidRPr="00CF4C67">
              <w:rPr>
                <w:rFonts w:ascii="Arial" w:hAnsi="Arial" w:cs="Arial"/>
                <w:b/>
                <w:bCs/>
                <w:color w:val="000000"/>
                <w:sz w:val="16"/>
                <w:szCs w:val="16"/>
              </w:rPr>
              <w:t>SE</w:t>
            </w:r>
            <w:r w:rsidRPr="00CF4C67">
              <w:rPr>
                <w:rFonts w:ascii="Arial" w:hAnsi="Arial" w:cs="Arial"/>
                <w:color w:val="000000"/>
                <w:sz w:val="16"/>
                <w:szCs w:val="16"/>
              </w:rPr>
              <w:t>), Bootstrap interval (</w:t>
            </w:r>
            <w:r w:rsidRPr="00CF4C67">
              <w:rPr>
                <w:rFonts w:ascii="Arial" w:hAnsi="Arial" w:cs="Arial"/>
                <w:b/>
                <w:bCs/>
                <w:color w:val="000000"/>
                <w:sz w:val="16"/>
                <w:szCs w:val="16"/>
              </w:rPr>
              <w:t>BI</w:t>
            </w:r>
            <w:r w:rsidRPr="00CF4C67">
              <w:rPr>
                <w:rFonts w:ascii="Arial" w:hAnsi="Arial" w:cs="Arial"/>
                <w:color w:val="000000"/>
                <w:sz w:val="16"/>
                <w:szCs w:val="16"/>
              </w:rPr>
              <w:t>), Credible interval or confidence interval (</w:t>
            </w:r>
            <w:r w:rsidRPr="00CF4C67">
              <w:rPr>
                <w:rFonts w:ascii="Arial" w:hAnsi="Arial" w:cs="Arial"/>
                <w:b/>
                <w:bCs/>
                <w:color w:val="000000"/>
                <w:sz w:val="16"/>
                <w:szCs w:val="16"/>
              </w:rPr>
              <w:t>CI</w:t>
            </w:r>
            <w:r w:rsidRPr="00CF4C67">
              <w:rPr>
                <w:rFonts w:ascii="Arial" w:hAnsi="Arial" w:cs="Arial"/>
                <w:color w:val="000000"/>
                <w:sz w:val="16"/>
                <w:szCs w:val="16"/>
              </w:rPr>
              <w:t>), measurement error (</w:t>
            </w:r>
            <w:r w:rsidRPr="00CF4C67">
              <w:rPr>
                <w:rFonts w:ascii="Arial" w:hAnsi="Arial" w:cs="Arial"/>
                <w:b/>
                <w:bCs/>
                <w:color w:val="000000"/>
                <w:sz w:val="16"/>
                <w:szCs w:val="16"/>
              </w:rPr>
              <w:t>ME</w:t>
            </w:r>
            <w:r w:rsidRPr="00CF4C67">
              <w:rPr>
                <w:rFonts w:ascii="Arial" w:hAnsi="Arial" w:cs="Arial"/>
                <w:color w:val="000000"/>
                <w:sz w:val="16"/>
                <w:szCs w:val="16"/>
              </w:rPr>
              <w:t>), observation error (</w:t>
            </w:r>
            <w:r w:rsidRPr="00CF4C67">
              <w:rPr>
                <w:rFonts w:ascii="Arial" w:hAnsi="Arial" w:cs="Arial"/>
                <w:b/>
                <w:bCs/>
                <w:color w:val="000000"/>
                <w:sz w:val="16"/>
                <w:szCs w:val="16"/>
              </w:rPr>
              <w:t>OE</w:t>
            </w:r>
            <w:r w:rsidRPr="00CF4C67">
              <w:rPr>
                <w:rFonts w:ascii="Arial" w:hAnsi="Arial" w:cs="Arial"/>
                <w:color w:val="000000"/>
                <w:sz w:val="16"/>
                <w:szCs w:val="16"/>
              </w:rPr>
              <w:t>), a state model (</w:t>
            </w:r>
            <w:r w:rsidRPr="00CF4C67">
              <w:rPr>
                <w:rFonts w:ascii="Arial" w:hAnsi="Arial" w:cs="Arial"/>
                <w:b/>
                <w:bCs/>
                <w:color w:val="000000"/>
                <w:sz w:val="16"/>
                <w:szCs w:val="16"/>
              </w:rPr>
              <w:t>State</w:t>
            </w:r>
            <w:r w:rsidRPr="00CF4C67">
              <w:rPr>
                <w:rFonts w:ascii="Arial" w:hAnsi="Arial" w:cs="Arial"/>
                <w:color w:val="000000"/>
                <w:sz w:val="16"/>
                <w:szCs w:val="16"/>
              </w:rPr>
              <w:t>). </w:t>
            </w:r>
          </w:p>
          <w:p w14:paraId="7952D4D3" w14:textId="77777777" w:rsidR="008354E8" w:rsidRPr="00CF4C67" w:rsidRDefault="008354E8" w:rsidP="00C21C70">
            <w:pPr>
              <w:rPr>
                <w:sz w:val="16"/>
                <w:szCs w:val="16"/>
              </w:rPr>
            </w:pPr>
          </w:p>
          <w:p w14:paraId="79BB8EFF" w14:textId="77777777" w:rsidR="008354E8" w:rsidRPr="00CF4C67" w:rsidRDefault="008354E8" w:rsidP="00C21C70">
            <w:pPr>
              <w:pStyle w:val="NormalWeb"/>
              <w:spacing w:before="0" w:beforeAutospacing="0" w:after="0" w:afterAutospacing="0"/>
              <w:rPr>
                <w:rFonts w:ascii="Arial" w:hAnsi="Arial" w:cs="Arial"/>
                <w:color w:val="000000"/>
                <w:sz w:val="16"/>
                <w:szCs w:val="16"/>
              </w:rPr>
            </w:pPr>
            <w:r w:rsidRPr="00CF4C67">
              <w:rPr>
                <w:rFonts w:ascii="Arial" w:hAnsi="Arial" w:cs="Arial"/>
                <w:color w:val="000000"/>
                <w:sz w:val="16"/>
                <w:szCs w:val="16"/>
              </w:rPr>
              <w:t xml:space="preserve">Full list of uncertainty types </w:t>
            </w:r>
            <w:r w:rsidRPr="00CF4C67">
              <w:rPr>
                <w:rFonts w:ascii="Arial" w:hAnsi="Arial" w:cs="Arial"/>
                <w:color w:val="000000"/>
                <w:sz w:val="16"/>
                <w:szCs w:val="16"/>
                <w:lang w:val="en-GB"/>
              </w:rPr>
              <w:t>below.</w:t>
            </w:r>
            <w:r w:rsidRPr="00CF4C67">
              <w:rPr>
                <w:rFonts w:ascii="Arial" w:hAnsi="Arial" w:cs="Arial"/>
                <w:color w:val="000000"/>
                <w:sz w:val="16"/>
                <w:szCs w:val="16"/>
              </w:rPr>
              <w:t> </w:t>
            </w:r>
          </w:p>
          <w:p w14:paraId="2B69BFA7" w14:textId="77777777" w:rsidR="008354E8" w:rsidRPr="00CF4C67" w:rsidRDefault="008354E8" w:rsidP="00C21C70">
            <w:pPr>
              <w:pStyle w:val="NormalWeb"/>
              <w:spacing w:before="0" w:beforeAutospacing="0" w:after="0" w:afterAutospacing="0"/>
              <w:rPr>
                <w:rFonts w:ascii="Arial" w:hAnsi="Arial" w:cs="Arial"/>
                <w:color w:val="000000"/>
                <w:sz w:val="16"/>
                <w:szCs w:val="16"/>
              </w:rPr>
            </w:pPr>
          </w:p>
          <w:p w14:paraId="12EA3C9E" w14:textId="77777777" w:rsidR="008354E8" w:rsidRPr="00CF4C67" w:rsidRDefault="008354E8" w:rsidP="00C21C70">
            <w:pPr>
              <w:pStyle w:val="NormalWeb"/>
              <w:spacing w:before="0" w:beforeAutospacing="0" w:after="0" w:afterAutospacing="0"/>
              <w:rPr>
                <w:rFonts w:ascii="Arial" w:hAnsi="Arial" w:cs="Arial"/>
                <w:color w:val="000000"/>
                <w:sz w:val="16"/>
                <w:szCs w:val="16"/>
              </w:rPr>
            </w:pPr>
            <w:r w:rsidRPr="00CF4C67">
              <w:rPr>
                <w:rFonts w:ascii="Arial" w:hAnsi="Arial" w:cs="Arial"/>
                <w:color w:val="000000"/>
                <w:sz w:val="16"/>
                <w:szCs w:val="16"/>
              </w:rPr>
              <w:t>I</w:t>
            </w:r>
            <w:r w:rsidRPr="00CF4C67">
              <w:rPr>
                <w:rFonts w:ascii="Arial" w:hAnsi="Arial" w:cs="Arial"/>
                <w:color w:val="000000"/>
                <w:sz w:val="16"/>
                <w:szCs w:val="16"/>
                <w:lang w:val="en-GB"/>
              </w:rPr>
              <w:t>f</w:t>
            </w:r>
            <w:r w:rsidRPr="00CF4C67">
              <w:rPr>
                <w:rFonts w:ascii="Arial" w:hAnsi="Arial" w:cs="Arial"/>
                <w:color w:val="000000"/>
                <w:sz w:val="16"/>
                <w:szCs w:val="16"/>
              </w:rPr>
              <w:t xml:space="preserve"> </w:t>
            </w:r>
            <w:r w:rsidRPr="00CF4C67">
              <w:rPr>
                <w:rFonts w:ascii="Arial" w:hAnsi="Arial" w:cs="Arial"/>
                <w:b/>
                <w:bCs/>
                <w:color w:val="000000"/>
                <w:sz w:val="16"/>
                <w:szCs w:val="16"/>
              </w:rPr>
              <w:t>ANSWER = N</w:t>
            </w:r>
            <w:r w:rsidRPr="00CF4C67">
              <w:rPr>
                <w:rFonts w:ascii="Arial" w:hAnsi="Arial" w:cs="Arial"/>
                <w:b/>
                <w:bCs/>
                <w:color w:val="000000"/>
                <w:sz w:val="16"/>
                <w:szCs w:val="16"/>
                <w:lang w:val="en-GB"/>
              </w:rPr>
              <w:t>o</w:t>
            </w:r>
            <w:r w:rsidRPr="00CF4C67">
              <w:rPr>
                <w:rFonts w:ascii="Arial" w:hAnsi="Arial" w:cs="Arial"/>
                <w:color w:val="000000"/>
                <w:sz w:val="16"/>
                <w:szCs w:val="16"/>
              </w:rPr>
              <w:t xml:space="preserve"> this can explain if the uncertainty is Missing (</w:t>
            </w:r>
            <w:r w:rsidRPr="00CF4C67">
              <w:rPr>
                <w:rFonts w:ascii="Arial" w:hAnsi="Arial" w:cs="Arial"/>
                <w:b/>
                <w:bCs/>
                <w:color w:val="000000"/>
                <w:sz w:val="16"/>
                <w:szCs w:val="16"/>
              </w:rPr>
              <w:t>MISS</w:t>
            </w:r>
            <w:r w:rsidRPr="00CF4C67">
              <w:rPr>
                <w:rFonts w:ascii="Arial" w:hAnsi="Arial" w:cs="Arial"/>
                <w:color w:val="000000"/>
                <w:sz w:val="16"/>
                <w:szCs w:val="16"/>
              </w:rPr>
              <w:t>), Impossible (</w:t>
            </w:r>
            <w:r w:rsidRPr="00CF4C67">
              <w:rPr>
                <w:rFonts w:ascii="Arial" w:hAnsi="Arial" w:cs="Arial"/>
                <w:b/>
                <w:bCs/>
                <w:color w:val="000000"/>
                <w:sz w:val="16"/>
                <w:szCs w:val="16"/>
              </w:rPr>
              <w:t>IM</w:t>
            </w:r>
            <w:r w:rsidRPr="00CF4C67">
              <w:rPr>
                <w:rFonts w:ascii="Arial" w:hAnsi="Arial" w:cs="Arial"/>
                <w:color w:val="000000"/>
                <w:sz w:val="16"/>
                <w:szCs w:val="16"/>
              </w:rPr>
              <w:t xml:space="preserve">), or no uncertainty in the variable </w:t>
            </w:r>
            <w:proofErr w:type="gramStart"/>
            <w:r w:rsidRPr="00CF4C67">
              <w:rPr>
                <w:rFonts w:ascii="Arial" w:hAnsi="Arial" w:cs="Arial"/>
                <w:color w:val="000000"/>
                <w:sz w:val="16"/>
                <w:szCs w:val="16"/>
              </w:rPr>
              <w:t>i.e.</w:t>
            </w:r>
            <w:proofErr w:type="gramEnd"/>
            <w:r w:rsidRPr="00CF4C67">
              <w:rPr>
                <w:rFonts w:ascii="Arial" w:hAnsi="Arial" w:cs="Arial"/>
                <w:color w:val="000000"/>
                <w:sz w:val="16"/>
                <w:szCs w:val="16"/>
              </w:rPr>
              <w:t xml:space="preserve"> uncertainty is not relevant for this variable (</w:t>
            </w:r>
            <w:r w:rsidRPr="00CF4C67">
              <w:rPr>
                <w:rFonts w:ascii="Arial" w:hAnsi="Arial" w:cs="Arial"/>
                <w:b/>
                <w:bCs/>
                <w:color w:val="000000"/>
                <w:sz w:val="16"/>
                <w:szCs w:val="16"/>
              </w:rPr>
              <w:t>NU</w:t>
            </w:r>
            <w:r w:rsidRPr="00CF4C67">
              <w:rPr>
                <w:rFonts w:ascii="Arial" w:hAnsi="Arial" w:cs="Arial"/>
                <w:color w:val="000000"/>
                <w:sz w:val="16"/>
                <w:szCs w:val="16"/>
              </w:rPr>
              <w:t xml:space="preserve">), </w:t>
            </w:r>
            <w:r w:rsidRPr="00CF4C67">
              <w:rPr>
                <w:rFonts w:ascii="Arial" w:hAnsi="Arial" w:cs="Arial"/>
                <w:b/>
                <w:bCs/>
                <w:color w:val="000000"/>
                <w:sz w:val="16"/>
                <w:szCs w:val="16"/>
              </w:rPr>
              <w:t xml:space="preserve">Not propagated </w:t>
            </w:r>
            <w:r w:rsidRPr="00CF4C67">
              <w:rPr>
                <w:rFonts w:ascii="Arial" w:hAnsi="Arial" w:cs="Arial"/>
                <w:color w:val="000000"/>
                <w:sz w:val="16"/>
                <w:szCs w:val="16"/>
              </w:rPr>
              <w:t>(if mentioned elsewhere but not included in model)</w:t>
            </w:r>
          </w:p>
          <w:p w14:paraId="3F242FCC" w14:textId="77777777" w:rsidR="008354E8" w:rsidRPr="00CF4C67" w:rsidRDefault="008354E8" w:rsidP="00C21C70">
            <w:pPr>
              <w:pStyle w:val="NormalWeb"/>
              <w:spacing w:before="0" w:beforeAutospacing="0" w:after="0" w:afterAutospacing="0"/>
              <w:rPr>
                <w:sz w:val="16"/>
                <w:szCs w:val="16"/>
              </w:rPr>
            </w:pPr>
          </w:p>
          <w:p w14:paraId="6A4A7A00"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 xml:space="preserve">Can also </w:t>
            </w:r>
            <w:proofErr w:type="gramStart"/>
            <w:r w:rsidRPr="00CF4C67">
              <w:rPr>
                <w:rFonts w:ascii="Arial" w:hAnsi="Arial" w:cs="Arial"/>
                <w:color w:val="000000"/>
                <w:sz w:val="16"/>
                <w:szCs w:val="16"/>
              </w:rPr>
              <w:t>include:</w:t>
            </w:r>
            <w:proofErr w:type="gramEnd"/>
            <w:r w:rsidRPr="00CF4C67">
              <w:rPr>
                <w:rFonts w:ascii="Arial" w:hAnsi="Arial" w:cs="Arial"/>
                <w:color w:val="000000"/>
                <w:sz w:val="16"/>
                <w:szCs w:val="16"/>
              </w:rPr>
              <w:t xml:space="preserve"> </w:t>
            </w:r>
            <w:r w:rsidRPr="00CF4C67">
              <w:rPr>
                <w:rFonts w:ascii="Arial" w:hAnsi="Arial" w:cs="Arial"/>
                <w:b/>
                <w:bCs/>
                <w:color w:val="000000"/>
                <w:sz w:val="16"/>
                <w:szCs w:val="16"/>
              </w:rPr>
              <w:t>NA, I don’t know, can’t tell</w:t>
            </w:r>
            <w:r w:rsidRPr="00CF4C67">
              <w:rPr>
                <w:rFonts w:ascii="Arial" w:hAnsi="Arial" w:cs="Arial"/>
                <w:color w:val="000000"/>
                <w:sz w:val="16"/>
                <w:szCs w:val="16"/>
              </w:rPr>
              <w:t>.</w:t>
            </w:r>
          </w:p>
        </w:tc>
        <w:tc>
          <w:tcPr>
            <w:tcW w:w="1268" w:type="dxa"/>
            <w:tcMar>
              <w:top w:w="0" w:type="dxa"/>
              <w:left w:w="45" w:type="dxa"/>
              <w:bottom w:w="0" w:type="dxa"/>
              <w:right w:w="45" w:type="dxa"/>
            </w:tcMar>
            <w:vAlign w:val="center"/>
            <w:hideMark/>
          </w:tcPr>
          <w:p w14:paraId="46374A7C" w14:textId="77777777" w:rsidR="008354E8" w:rsidRPr="00CF4C67" w:rsidRDefault="008354E8" w:rsidP="00C21C70">
            <w:pPr>
              <w:pStyle w:val="NormalWeb"/>
              <w:spacing w:before="0" w:beforeAutospacing="0" w:after="0" w:afterAutospacing="0"/>
              <w:rPr>
                <w:rFonts w:ascii="Arial" w:hAnsi="Arial" w:cs="Arial"/>
                <w:b/>
                <w:bCs/>
                <w:color w:val="000000"/>
                <w:sz w:val="16"/>
                <w:szCs w:val="16"/>
              </w:rPr>
            </w:pPr>
            <w:r w:rsidRPr="00CF4C67">
              <w:rPr>
                <w:rFonts w:ascii="Arial" w:hAnsi="Arial" w:cs="Arial"/>
                <w:b/>
                <w:bCs/>
                <w:color w:val="000000"/>
                <w:sz w:val="16"/>
                <w:szCs w:val="16"/>
              </w:rPr>
              <w:t>Main, SI, Data, Citation</w:t>
            </w:r>
          </w:p>
          <w:p w14:paraId="523153E2" w14:textId="77777777" w:rsidR="008354E8" w:rsidRPr="00CF4C67" w:rsidRDefault="008354E8" w:rsidP="00C21C70">
            <w:pPr>
              <w:pStyle w:val="NormalWeb"/>
              <w:spacing w:before="0" w:beforeAutospacing="0" w:after="0" w:afterAutospacing="0"/>
              <w:rPr>
                <w:b/>
                <w:bCs/>
                <w:color w:val="000000"/>
                <w:sz w:val="16"/>
                <w:szCs w:val="16"/>
              </w:rPr>
            </w:pPr>
          </w:p>
          <w:p w14:paraId="496BE0F7" w14:textId="77777777" w:rsidR="008354E8" w:rsidRPr="00CF4C67" w:rsidRDefault="008354E8" w:rsidP="00C21C70">
            <w:pPr>
              <w:pStyle w:val="NormalWeb"/>
              <w:spacing w:before="0" w:beforeAutospacing="0" w:after="0" w:afterAutospacing="0"/>
              <w:rPr>
                <w:sz w:val="16"/>
                <w:szCs w:val="16"/>
                <w:lang w:val="en-GB"/>
              </w:rPr>
            </w:pPr>
            <w:r w:rsidRPr="00CF4C67">
              <w:rPr>
                <w:color w:val="000000"/>
                <w:sz w:val="16"/>
                <w:szCs w:val="16"/>
                <w:lang w:val="en-GB"/>
              </w:rPr>
              <w:t>(</w:t>
            </w:r>
            <w:proofErr w:type="gramStart"/>
            <w:r w:rsidRPr="00CF4C67">
              <w:rPr>
                <w:color w:val="000000"/>
                <w:sz w:val="16"/>
                <w:szCs w:val="16"/>
                <w:lang w:val="en-GB"/>
              </w:rPr>
              <w:t>same</w:t>
            </w:r>
            <w:proofErr w:type="gramEnd"/>
            <w:r w:rsidRPr="00CF4C67">
              <w:rPr>
                <w:color w:val="000000"/>
                <w:sz w:val="16"/>
                <w:szCs w:val="16"/>
                <w:lang w:val="en-GB"/>
              </w:rPr>
              <w:t xml:space="preserve"> as response instructions)</w:t>
            </w:r>
          </w:p>
        </w:tc>
        <w:tc>
          <w:tcPr>
            <w:tcW w:w="1132" w:type="dxa"/>
            <w:tcMar>
              <w:top w:w="0" w:type="dxa"/>
              <w:left w:w="45" w:type="dxa"/>
              <w:bottom w:w="0" w:type="dxa"/>
              <w:right w:w="45" w:type="dxa"/>
            </w:tcMar>
            <w:vAlign w:val="center"/>
            <w:hideMark/>
          </w:tcPr>
          <w:p w14:paraId="4AA231BB" w14:textId="77777777" w:rsidR="008354E8" w:rsidRPr="00CF4C67" w:rsidRDefault="008354E8" w:rsidP="00C21C70">
            <w:pPr>
              <w:pStyle w:val="NormalWeb"/>
              <w:spacing w:before="0" w:beforeAutospacing="0" w:after="0" w:afterAutospacing="0"/>
              <w:rPr>
                <w:rFonts w:ascii="Arial" w:hAnsi="Arial" w:cs="Arial"/>
                <w:b/>
                <w:bCs/>
                <w:color w:val="000000"/>
                <w:sz w:val="16"/>
                <w:szCs w:val="16"/>
              </w:rPr>
            </w:pPr>
            <w:r w:rsidRPr="00CF4C67">
              <w:rPr>
                <w:rFonts w:ascii="Arial" w:hAnsi="Arial" w:cs="Arial"/>
                <w:b/>
                <w:bCs/>
                <w:color w:val="000000"/>
                <w:sz w:val="16"/>
                <w:szCs w:val="16"/>
              </w:rPr>
              <w:t>visual, text, numeric</w:t>
            </w:r>
          </w:p>
          <w:p w14:paraId="4B5AB025" w14:textId="77777777" w:rsidR="008354E8" w:rsidRPr="00CF4C67" w:rsidRDefault="008354E8" w:rsidP="00C21C70">
            <w:pPr>
              <w:pStyle w:val="NormalWeb"/>
              <w:spacing w:before="0" w:beforeAutospacing="0" w:after="0" w:afterAutospacing="0"/>
              <w:rPr>
                <w:rFonts w:ascii="Arial" w:hAnsi="Arial" w:cs="Arial"/>
                <w:sz w:val="16"/>
                <w:szCs w:val="16"/>
              </w:rPr>
            </w:pPr>
          </w:p>
          <w:p w14:paraId="712453C7" w14:textId="77777777" w:rsidR="008354E8" w:rsidRPr="00CF4C67" w:rsidRDefault="008354E8" w:rsidP="00C21C70">
            <w:pPr>
              <w:pStyle w:val="NormalWeb"/>
              <w:spacing w:before="0" w:beforeAutospacing="0" w:after="0" w:afterAutospacing="0"/>
              <w:rPr>
                <w:b/>
                <w:bCs/>
                <w:sz w:val="16"/>
                <w:szCs w:val="16"/>
              </w:rPr>
            </w:pPr>
            <w:r w:rsidRPr="00CF4C67">
              <w:rPr>
                <w:color w:val="000000"/>
                <w:sz w:val="16"/>
                <w:szCs w:val="16"/>
                <w:lang w:val="en-GB"/>
              </w:rPr>
              <w:t>(</w:t>
            </w:r>
            <w:proofErr w:type="gramStart"/>
            <w:r w:rsidRPr="00CF4C67">
              <w:rPr>
                <w:color w:val="000000"/>
                <w:sz w:val="16"/>
                <w:szCs w:val="16"/>
                <w:lang w:val="en-GB"/>
              </w:rPr>
              <w:t>same</w:t>
            </w:r>
            <w:proofErr w:type="gramEnd"/>
            <w:r w:rsidRPr="00CF4C67">
              <w:rPr>
                <w:color w:val="000000"/>
                <w:sz w:val="16"/>
                <w:szCs w:val="16"/>
                <w:lang w:val="en-GB"/>
              </w:rPr>
              <w:t xml:space="preserve"> as response instructions)</w:t>
            </w:r>
          </w:p>
        </w:tc>
        <w:tc>
          <w:tcPr>
            <w:tcW w:w="1266" w:type="dxa"/>
            <w:vMerge/>
            <w:tcMar>
              <w:top w:w="0" w:type="dxa"/>
              <w:left w:w="45" w:type="dxa"/>
              <w:bottom w:w="0" w:type="dxa"/>
              <w:right w:w="45" w:type="dxa"/>
            </w:tcMar>
            <w:vAlign w:val="bottom"/>
            <w:hideMark/>
          </w:tcPr>
          <w:p w14:paraId="19AEFF6B" w14:textId="77777777" w:rsidR="008354E8" w:rsidRPr="00CF4C67" w:rsidRDefault="008354E8" w:rsidP="00C21C70">
            <w:pPr>
              <w:pStyle w:val="NormalWeb"/>
              <w:spacing w:before="0" w:after="0"/>
              <w:rPr>
                <w:sz w:val="16"/>
                <w:szCs w:val="16"/>
              </w:rPr>
            </w:pPr>
          </w:p>
        </w:tc>
      </w:tr>
      <w:tr w:rsidR="00F82C75" w:rsidRPr="00CF4C67" w14:paraId="612E5A96" w14:textId="77777777" w:rsidTr="00C21C70">
        <w:trPr>
          <w:trHeight w:val="5137"/>
        </w:trPr>
        <w:tc>
          <w:tcPr>
            <w:tcW w:w="0" w:type="auto"/>
            <w:shd w:val="clear" w:color="auto" w:fill="D9D9D9"/>
            <w:vAlign w:val="center"/>
          </w:tcPr>
          <w:p w14:paraId="56EAA1B1" w14:textId="77777777" w:rsidR="008354E8" w:rsidRPr="00CF4C67" w:rsidRDefault="008354E8" w:rsidP="00C21C70">
            <w:pPr>
              <w:pStyle w:val="NormalWeb"/>
              <w:spacing w:before="0" w:beforeAutospacing="0" w:after="0" w:afterAutospacing="0"/>
              <w:jc w:val="center"/>
              <w:rPr>
                <w:rFonts w:ascii="Arial" w:hAnsi="Arial" w:cs="Arial"/>
                <w:b/>
                <w:bCs/>
                <w:color w:val="000000" w:themeColor="text1"/>
                <w:sz w:val="16"/>
                <w:szCs w:val="16"/>
                <w:lang w:val="en-GB"/>
              </w:rPr>
            </w:pPr>
            <w:r w:rsidRPr="00CF4C67">
              <w:rPr>
                <w:rFonts w:ascii="Arial" w:hAnsi="Arial" w:cs="Arial"/>
                <w:b/>
                <w:bCs/>
                <w:color w:val="000000" w:themeColor="text1"/>
                <w:sz w:val="16"/>
                <w:szCs w:val="16"/>
                <w:lang w:val="en-GB"/>
              </w:rPr>
              <w:t>3</w:t>
            </w:r>
          </w:p>
        </w:tc>
        <w:tc>
          <w:tcPr>
            <w:tcW w:w="1137" w:type="dxa"/>
            <w:shd w:val="clear" w:color="auto" w:fill="D9D9D9"/>
            <w:tcMar>
              <w:top w:w="0" w:type="dxa"/>
              <w:left w:w="45" w:type="dxa"/>
              <w:bottom w:w="0" w:type="dxa"/>
              <w:right w:w="45" w:type="dxa"/>
            </w:tcMar>
            <w:vAlign w:val="center"/>
            <w:hideMark/>
          </w:tcPr>
          <w:p w14:paraId="0249E6E2"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themeColor="text1"/>
                <w:sz w:val="16"/>
                <w:szCs w:val="16"/>
              </w:rPr>
              <w:t>Is the uncertainty in the parameter estimation included (reported in the paper)?</w:t>
            </w:r>
          </w:p>
        </w:tc>
        <w:tc>
          <w:tcPr>
            <w:tcW w:w="1620" w:type="dxa"/>
            <w:shd w:val="clear" w:color="auto" w:fill="D9D9D9"/>
            <w:tcMar>
              <w:top w:w="0" w:type="dxa"/>
              <w:left w:w="45" w:type="dxa"/>
              <w:bottom w:w="0" w:type="dxa"/>
              <w:right w:w="45" w:type="dxa"/>
            </w:tcMar>
            <w:vAlign w:val="center"/>
            <w:hideMark/>
          </w:tcPr>
          <w:p w14:paraId="682B2EEF"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For the model you are looking at, do they report uncertainty in their estimates</w:t>
            </w:r>
            <w:r w:rsidRPr="00CF4C67">
              <w:rPr>
                <w:rFonts w:ascii="Arial" w:hAnsi="Arial" w:cs="Arial"/>
                <w:color w:val="000000"/>
                <w:sz w:val="16"/>
                <w:szCs w:val="16"/>
                <w:lang w:val="en-GB"/>
              </w:rPr>
              <w:t xml:space="preserve"> or the values</w:t>
            </w:r>
            <w:r w:rsidRPr="00CF4C67">
              <w:rPr>
                <w:rFonts w:ascii="Arial" w:hAnsi="Arial" w:cs="Arial"/>
                <w:color w:val="000000"/>
                <w:sz w:val="16"/>
                <w:szCs w:val="16"/>
              </w:rPr>
              <w:t xml:space="preserve"> of</w:t>
            </w:r>
            <w:r w:rsidRPr="00CF4C67">
              <w:rPr>
                <w:rFonts w:ascii="Arial" w:hAnsi="Arial" w:cs="Arial"/>
                <w:color w:val="000000"/>
                <w:sz w:val="16"/>
                <w:szCs w:val="16"/>
                <w:lang w:val="en-GB"/>
              </w:rPr>
              <w:t xml:space="preserve"> the unknown</w:t>
            </w:r>
            <w:r w:rsidRPr="00CF4C67">
              <w:rPr>
                <w:rFonts w:ascii="Arial" w:hAnsi="Arial" w:cs="Arial"/>
                <w:color w:val="000000"/>
                <w:sz w:val="16"/>
                <w:szCs w:val="16"/>
              </w:rPr>
              <w:t xml:space="preserve"> parameters?</w:t>
            </w:r>
          </w:p>
        </w:tc>
        <w:tc>
          <w:tcPr>
            <w:tcW w:w="1787" w:type="dxa"/>
            <w:tcMar>
              <w:top w:w="0" w:type="dxa"/>
              <w:left w:w="45" w:type="dxa"/>
              <w:bottom w:w="0" w:type="dxa"/>
              <w:right w:w="45" w:type="dxa"/>
            </w:tcMar>
            <w:vAlign w:val="center"/>
            <w:hideMark/>
          </w:tcPr>
          <w:p w14:paraId="5BB487ED" w14:textId="77777777" w:rsidR="008354E8" w:rsidRPr="00CF4C67" w:rsidRDefault="008354E8" w:rsidP="00C21C70">
            <w:pPr>
              <w:pStyle w:val="NormalWeb"/>
              <w:spacing w:before="0" w:beforeAutospacing="0" w:after="0" w:afterAutospacing="0"/>
              <w:rPr>
                <w:color w:val="000000" w:themeColor="text1"/>
                <w:sz w:val="16"/>
                <w:szCs w:val="16"/>
              </w:rPr>
            </w:pPr>
            <w:r w:rsidRPr="00CF4C67">
              <w:rPr>
                <w:rFonts w:ascii="Arial" w:hAnsi="Arial" w:cs="Arial"/>
                <w:b/>
                <w:bCs/>
                <w:color w:val="000000" w:themeColor="text1"/>
                <w:sz w:val="16"/>
                <w:szCs w:val="16"/>
              </w:rPr>
              <w:t>Yes/No/NA</w:t>
            </w:r>
          </w:p>
          <w:p w14:paraId="37CF7EAB" w14:textId="77777777" w:rsidR="008354E8" w:rsidRPr="00CF4C67" w:rsidRDefault="008354E8" w:rsidP="00C21C70">
            <w:pPr>
              <w:rPr>
                <w:color w:val="000000" w:themeColor="text1"/>
                <w:sz w:val="16"/>
                <w:szCs w:val="16"/>
              </w:rPr>
            </w:pPr>
          </w:p>
          <w:p w14:paraId="2E3B2B5B" w14:textId="77777777" w:rsidR="008354E8" w:rsidRPr="00CF4C67" w:rsidRDefault="008354E8" w:rsidP="00C21C70">
            <w:pPr>
              <w:pStyle w:val="NormalWeb"/>
              <w:spacing w:before="0" w:beforeAutospacing="0" w:after="0" w:afterAutospacing="0"/>
              <w:rPr>
                <w:color w:val="000000" w:themeColor="text1"/>
                <w:sz w:val="16"/>
                <w:szCs w:val="16"/>
              </w:rPr>
            </w:pPr>
            <w:proofErr w:type="gramStart"/>
            <w:r w:rsidRPr="00CF4C67">
              <w:rPr>
                <w:rFonts w:ascii="Arial" w:hAnsi="Arial" w:cs="Arial"/>
                <w:b/>
                <w:bCs/>
                <w:color w:val="000000" w:themeColor="text1"/>
                <w:sz w:val="16"/>
                <w:szCs w:val="16"/>
              </w:rPr>
              <w:t>Yes</w:t>
            </w:r>
            <w:proofErr w:type="gramEnd"/>
            <w:r w:rsidRPr="00CF4C67">
              <w:rPr>
                <w:rFonts w:ascii="Arial" w:hAnsi="Arial" w:cs="Arial"/>
                <w:color w:val="000000" w:themeColor="text1"/>
                <w:sz w:val="16"/>
                <w:szCs w:val="16"/>
              </w:rPr>
              <w:t xml:space="preserve"> if there is uncertainty reported and it is accounted for in the focal model e.g. measurement error is quantified, the variable is corrected and then used in the model. </w:t>
            </w:r>
          </w:p>
          <w:p w14:paraId="2EFB159B" w14:textId="77777777" w:rsidR="008354E8" w:rsidRPr="00CF4C67" w:rsidRDefault="008354E8" w:rsidP="00C21C70">
            <w:pPr>
              <w:rPr>
                <w:color w:val="000000" w:themeColor="text1"/>
                <w:sz w:val="16"/>
                <w:szCs w:val="16"/>
              </w:rPr>
            </w:pPr>
          </w:p>
          <w:p w14:paraId="7178A316" w14:textId="77777777" w:rsidR="008354E8" w:rsidRPr="00CF4C67" w:rsidRDefault="008354E8" w:rsidP="00C21C70">
            <w:pPr>
              <w:pStyle w:val="NormalWeb"/>
              <w:spacing w:before="0" w:beforeAutospacing="0" w:after="0" w:afterAutospacing="0"/>
              <w:rPr>
                <w:color w:val="000000" w:themeColor="text1"/>
                <w:sz w:val="16"/>
                <w:szCs w:val="16"/>
              </w:rPr>
            </w:pPr>
            <w:r w:rsidRPr="00CF4C67">
              <w:rPr>
                <w:rFonts w:ascii="Arial" w:hAnsi="Arial" w:cs="Arial"/>
                <w:b/>
                <w:bCs/>
                <w:color w:val="000000" w:themeColor="text1"/>
                <w:sz w:val="16"/>
                <w:szCs w:val="16"/>
              </w:rPr>
              <w:t>No</w:t>
            </w:r>
            <w:r w:rsidRPr="00CF4C67">
              <w:rPr>
                <w:rFonts w:ascii="Arial" w:hAnsi="Arial" w:cs="Arial"/>
                <w:color w:val="000000" w:themeColor="text1"/>
                <w:sz w:val="16"/>
                <w:szCs w:val="16"/>
              </w:rPr>
              <w:t xml:space="preserve"> if there is no uncertainty reported and if it is not explicitly accounted for in the model. This should be the answer even if the uncertainty CAN’T be quantified. That will be covered in the </w:t>
            </w:r>
            <w:proofErr w:type="gramStart"/>
            <w:r w:rsidRPr="00CF4C67">
              <w:rPr>
                <w:rFonts w:ascii="Arial" w:hAnsi="Arial" w:cs="Arial"/>
                <w:color w:val="000000" w:themeColor="text1"/>
                <w:sz w:val="16"/>
                <w:szCs w:val="16"/>
              </w:rPr>
              <w:t>details</w:t>
            </w:r>
            <w:proofErr w:type="gramEnd"/>
            <w:r w:rsidRPr="00CF4C67">
              <w:rPr>
                <w:rFonts w:ascii="Arial" w:hAnsi="Arial" w:cs="Arial"/>
                <w:color w:val="000000" w:themeColor="text1"/>
                <w:sz w:val="16"/>
                <w:szCs w:val="16"/>
              </w:rPr>
              <w:t xml:space="preserve"> column.</w:t>
            </w:r>
          </w:p>
          <w:p w14:paraId="3C1583A5" w14:textId="77777777" w:rsidR="008354E8" w:rsidRPr="00CF4C67" w:rsidRDefault="008354E8" w:rsidP="00C21C70">
            <w:pPr>
              <w:rPr>
                <w:color w:val="000000" w:themeColor="text1"/>
                <w:sz w:val="16"/>
                <w:szCs w:val="16"/>
              </w:rPr>
            </w:pPr>
          </w:p>
          <w:p w14:paraId="20682623" w14:textId="77777777" w:rsidR="008354E8" w:rsidRPr="00CF4C67" w:rsidRDefault="008354E8" w:rsidP="00C21C70">
            <w:pPr>
              <w:pStyle w:val="NormalWeb"/>
              <w:spacing w:before="0" w:beforeAutospacing="0" w:after="0" w:afterAutospacing="0"/>
              <w:rPr>
                <w:color w:val="000000" w:themeColor="text1"/>
                <w:sz w:val="16"/>
                <w:szCs w:val="16"/>
              </w:rPr>
            </w:pPr>
            <w:r w:rsidRPr="00CF4C67">
              <w:rPr>
                <w:rFonts w:ascii="Arial" w:hAnsi="Arial" w:cs="Arial"/>
                <w:b/>
                <w:bCs/>
                <w:color w:val="000000" w:themeColor="text1"/>
                <w:sz w:val="16"/>
                <w:szCs w:val="16"/>
              </w:rPr>
              <w:t>NA</w:t>
            </w:r>
            <w:r w:rsidRPr="00CF4C67">
              <w:rPr>
                <w:rFonts w:ascii="Arial" w:hAnsi="Arial" w:cs="Arial"/>
                <w:color w:val="000000" w:themeColor="text1"/>
                <w:sz w:val="16"/>
                <w:szCs w:val="16"/>
              </w:rPr>
              <w:t xml:space="preserve"> should be used when the component is not present in the model.</w:t>
            </w:r>
          </w:p>
          <w:p w14:paraId="568BD458" w14:textId="77777777" w:rsidR="008354E8" w:rsidRPr="00CF4C67" w:rsidRDefault="008354E8" w:rsidP="00C21C70">
            <w:pPr>
              <w:rPr>
                <w:color w:val="000000" w:themeColor="text1"/>
                <w:sz w:val="16"/>
                <w:szCs w:val="16"/>
              </w:rPr>
            </w:pPr>
          </w:p>
          <w:p w14:paraId="4D5E26AF"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themeColor="text1"/>
                <w:sz w:val="16"/>
                <w:szCs w:val="16"/>
              </w:rPr>
              <w:t xml:space="preserve">If there are multiple </w:t>
            </w:r>
            <w:r w:rsidRPr="00CF4C67">
              <w:rPr>
                <w:rFonts w:ascii="Arial" w:hAnsi="Arial" w:cs="Arial"/>
                <w:color w:val="000000" w:themeColor="text1"/>
                <w:sz w:val="16"/>
                <w:szCs w:val="16"/>
                <w:lang w:val="en-GB"/>
              </w:rPr>
              <w:t>parameters</w:t>
            </w:r>
            <w:r w:rsidRPr="00CF4C67">
              <w:rPr>
                <w:rFonts w:ascii="Arial" w:hAnsi="Arial" w:cs="Arial"/>
                <w:color w:val="000000" w:themeColor="text1"/>
                <w:sz w:val="16"/>
                <w:szCs w:val="16"/>
              </w:rPr>
              <w:t xml:space="preserve"> and some have uncertainty reported use </w:t>
            </w:r>
            <w:r w:rsidRPr="00CF4C67">
              <w:rPr>
                <w:rFonts w:ascii="Arial" w:hAnsi="Arial" w:cs="Arial"/>
                <w:b/>
                <w:bCs/>
                <w:color w:val="000000" w:themeColor="text1"/>
                <w:sz w:val="16"/>
                <w:szCs w:val="16"/>
              </w:rPr>
              <w:t>Yes</w:t>
            </w:r>
            <w:r w:rsidRPr="00CF4C67">
              <w:rPr>
                <w:rFonts w:ascii="Arial" w:hAnsi="Arial" w:cs="Arial"/>
                <w:color w:val="000000" w:themeColor="text1"/>
                <w:sz w:val="16"/>
                <w:szCs w:val="16"/>
              </w:rPr>
              <w:t xml:space="preserve"> but write </w:t>
            </w:r>
            <w:r w:rsidRPr="00CF4C67">
              <w:rPr>
                <w:rFonts w:ascii="Arial" w:hAnsi="Arial" w:cs="Arial"/>
                <w:b/>
                <w:bCs/>
                <w:color w:val="000000" w:themeColor="text1"/>
                <w:sz w:val="16"/>
                <w:szCs w:val="16"/>
              </w:rPr>
              <w:t>incomplete</w:t>
            </w:r>
            <w:r w:rsidRPr="00CF4C67">
              <w:rPr>
                <w:rFonts w:ascii="Arial" w:hAnsi="Arial" w:cs="Arial"/>
                <w:color w:val="000000" w:themeColor="text1"/>
                <w:sz w:val="16"/>
                <w:szCs w:val="16"/>
              </w:rPr>
              <w:t xml:space="preserve"> in comments. </w:t>
            </w:r>
          </w:p>
        </w:tc>
        <w:tc>
          <w:tcPr>
            <w:tcW w:w="1721" w:type="dxa"/>
            <w:tcMar>
              <w:top w:w="0" w:type="dxa"/>
              <w:left w:w="45" w:type="dxa"/>
              <w:bottom w:w="0" w:type="dxa"/>
              <w:right w:w="45" w:type="dxa"/>
            </w:tcMar>
            <w:vAlign w:val="center"/>
            <w:hideMark/>
          </w:tcPr>
          <w:p w14:paraId="2FFEE4F0"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I</w:t>
            </w:r>
            <w:r w:rsidRPr="00CF4C67">
              <w:rPr>
                <w:rFonts w:ascii="Arial" w:hAnsi="Arial" w:cs="Arial"/>
                <w:color w:val="000000"/>
                <w:sz w:val="16"/>
                <w:szCs w:val="16"/>
                <w:lang w:val="en-GB"/>
              </w:rPr>
              <w:t>f</w:t>
            </w:r>
            <w:r w:rsidRPr="00CF4C67">
              <w:rPr>
                <w:rFonts w:ascii="Arial" w:hAnsi="Arial" w:cs="Arial"/>
                <w:color w:val="000000"/>
                <w:sz w:val="16"/>
                <w:szCs w:val="16"/>
              </w:rPr>
              <w:t xml:space="preserve"> </w:t>
            </w:r>
            <w:r w:rsidRPr="00CF4C67">
              <w:rPr>
                <w:rFonts w:ascii="Arial" w:hAnsi="Arial" w:cs="Arial"/>
                <w:b/>
                <w:bCs/>
                <w:color w:val="000000"/>
                <w:sz w:val="16"/>
                <w:szCs w:val="16"/>
              </w:rPr>
              <w:t xml:space="preserve">ANSWER = </w:t>
            </w:r>
            <w:proofErr w:type="gramStart"/>
            <w:r w:rsidRPr="00CF4C67">
              <w:rPr>
                <w:rFonts w:ascii="Arial" w:hAnsi="Arial" w:cs="Arial"/>
                <w:b/>
                <w:bCs/>
                <w:color w:val="000000"/>
                <w:sz w:val="16"/>
                <w:szCs w:val="16"/>
              </w:rPr>
              <w:t>Y</w:t>
            </w:r>
            <w:r w:rsidRPr="00CF4C67">
              <w:rPr>
                <w:rFonts w:ascii="Arial" w:hAnsi="Arial" w:cs="Arial"/>
                <w:b/>
                <w:bCs/>
                <w:color w:val="000000"/>
                <w:sz w:val="16"/>
                <w:szCs w:val="16"/>
                <w:lang w:val="en-GB"/>
              </w:rPr>
              <w:t>es</w:t>
            </w:r>
            <w:proofErr w:type="gramEnd"/>
            <w:r w:rsidRPr="00CF4C67">
              <w:rPr>
                <w:rFonts w:ascii="Arial" w:hAnsi="Arial" w:cs="Arial"/>
                <w:color w:val="000000"/>
                <w:sz w:val="16"/>
                <w:szCs w:val="16"/>
              </w:rPr>
              <w:t xml:space="preserve"> this should cover the type of uncertainty</w:t>
            </w:r>
            <w:r w:rsidRPr="00CF4C67">
              <w:rPr>
                <w:rFonts w:ascii="Arial" w:hAnsi="Arial" w:cs="Arial"/>
                <w:color w:val="000000"/>
                <w:sz w:val="16"/>
                <w:szCs w:val="16"/>
                <w:lang w:val="en-GB"/>
              </w:rPr>
              <w:t xml:space="preserve"> that has been reported</w:t>
            </w:r>
            <w:r w:rsidRPr="00CF4C67">
              <w:rPr>
                <w:rFonts w:ascii="Arial" w:hAnsi="Arial" w:cs="Arial"/>
                <w:color w:val="000000"/>
                <w:sz w:val="16"/>
                <w:szCs w:val="16"/>
              </w:rPr>
              <w:t xml:space="preserve"> e.g.</w:t>
            </w:r>
          </w:p>
          <w:p w14:paraId="60A18B1A" w14:textId="77777777" w:rsidR="008354E8" w:rsidRPr="00CF4C67" w:rsidRDefault="008354E8" w:rsidP="00C21C70">
            <w:pPr>
              <w:pStyle w:val="NormalWeb"/>
              <w:spacing w:before="0" w:beforeAutospacing="0" w:after="0" w:afterAutospacing="0"/>
              <w:rPr>
                <w:rFonts w:ascii="Arial" w:hAnsi="Arial" w:cs="Arial"/>
                <w:color w:val="000000"/>
                <w:sz w:val="16"/>
                <w:szCs w:val="16"/>
                <w:lang w:val="en-GB"/>
              </w:rPr>
            </w:pPr>
            <w:r w:rsidRPr="00CF4C67">
              <w:rPr>
                <w:rFonts w:ascii="Arial" w:hAnsi="Arial" w:cs="Arial"/>
                <w:color w:val="000000"/>
                <w:sz w:val="16"/>
                <w:szCs w:val="16"/>
              </w:rPr>
              <w:t>Standard error (</w:t>
            </w:r>
            <w:r w:rsidRPr="00CF4C67">
              <w:rPr>
                <w:rFonts w:ascii="Arial" w:hAnsi="Arial" w:cs="Arial"/>
                <w:b/>
                <w:bCs/>
                <w:color w:val="000000"/>
                <w:sz w:val="16"/>
                <w:szCs w:val="16"/>
              </w:rPr>
              <w:t>SE</w:t>
            </w:r>
            <w:r w:rsidRPr="00CF4C67">
              <w:rPr>
                <w:rFonts w:ascii="Arial" w:hAnsi="Arial" w:cs="Arial"/>
                <w:color w:val="000000"/>
                <w:sz w:val="16"/>
                <w:szCs w:val="16"/>
              </w:rPr>
              <w:t>), Bootstrap interval (</w:t>
            </w:r>
            <w:r w:rsidRPr="00CF4C67">
              <w:rPr>
                <w:rFonts w:ascii="Arial" w:hAnsi="Arial" w:cs="Arial"/>
                <w:b/>
                <w:bCs/>
                <w:color w:val="000000"/>
                <w:sz w:val="16"/>
                <w:szCs w:val="16"/>
              </w:rPr>
              <w:t>BI</w:t>
            </w:r>
            <w:r w:rsidRPr="00CF4C67">
              <w:rPr>
                <w:rFonts w:ascii="Arial" w:hAnsi="Arial" w:cs="Arial"/>
                <w:color w:val="000000"/>
                <w:sz w:val="16"/>
                <w:szCs w:val="16"/>
              </w:rPr>
              <w:t>), Credible interval or confidence interval (</w:t>
            </w:r>
            <w:r w:rsidRPr="00CF4C67">
              <w:rPr>
                <w:rFonts w:ascii="Arial" w:hAnsi="Arial" w:cs="Arial"/>
                <w:b/>
                <w:bCs/>
                <w:color w:val="000000"/>
                <w:sz w:val="16"/>
                <w:szCs w:val="16"/>
              </w:rPr>
              <w:t>CI</w:t>
            </w:r>
            <w:r w:rsidRPr="00CF4C67">
              <w:rPr>
                <w:rFonts w:ascii="Arial" w:hAnsi="Arial" w:cs="Arial"/>
                <w:color w:val="000000"/>
                <w:sz w:val="16"/>
                <w:szCs w:val="16"/>
              </w:rPr>
              <w:t xml:space="preserve">), </w:t>
            </w:r>
            <w:r w:rsidRPr="00CF4C67">
              <w:rPr>
                <w:rFonts w:ascii="Arial" w:hAnsi="Arial" w:cs="Arial"/>
                <w:color w:val="000000"/>
                <w:sz w:val="16"/>
                <w:szCs w:val="16"/>
                <w:lang w:val="en-GB"/>
              </w:rPr>
              <w:t>range</w:t>
            </w:r>
            <w:r w:rsidRPr="00CF4C67">
              <w:rPr>
                <w:rFonts w:ascii="Arial" w:hAnsi="Arial" w:cs="Arial"/>
                <w:color w:val="000000"/>
                <w:sz w:val="16"/>
                <w:szCs w:val="16"/>
              </w:rPr>
              <w:t xml:space="preserve"> </w:t>
            </w:r>
            <w:r w:rsidRPr="00CF4C67">
              <w:rPr>
                <w:rFonts w:ascii="Arial" w:hAnsi="Arial" w:cs="Arial"/>
                <w:color w:val="000000"/>
                <w:sz w:val="16"/>
                <w:szCs w:val="16"/>
                <w:lang w:val="en-GB"/>
              </w:rPr>
              <w:t xml:space="preserve">of values used as parameter values </w:t>
            </w:r>
            <w:r w:rsidRPr="00CF4C67">
              <w:rPr>
                <w:rFonts w:ascii="Arial" w:hAnsi="Arial" w:cs="Arial"/>
                <w:color w:val="000000"/>
                <w:sz w:val="16"/>
                <w:szCs w:val="16"/>
              </w:rPr>
              <w:t>(</w:t>
            </w:r>
            <w:r w:rsidRPr="00CF4C67">
              <w:rPr>
                <w:rFonts w:ascii="Arial" w:hAnsi="Arial" w:cs="Arial"/>
                <w:b/>
                <w:bCs/>
                <w:color w:val="000000"/>
                <w:sz w:val="16"/>
                <w:szCs w:val="16"/>
                <w:lang w:val="en-GB"/>
              </w:rPr>
              <w:t>range</w:t>
            </w:r>
            <w:r w:rsidRPr="00CF4C67">
              <w:rPr>
                <w:rFonts w:ascii="Arial" w:hAnsi="Arial" w:cs="Arial"/>
                <w:color w:val="000000"/>
                <w:sz w:val="16"/>
                <w:szCs w:val="16"/>
              </w:rPr>
              <w:t>)</w:t>
            </w:r>
            <w:r w:rsidRPr="00CF4C67">
              <w:rPr>
                <w:rFonts w:ascii="Arial" w:hAnsi="Arial" w:cs="Arial"/>
                <w:color w:val="000000"/>
                <w:sz w:val="16"/>
                <w:szCs w:val="16"/>
                <w:lang w:val="en-GB"/>
              </w:rPr>
              <w:t>.</w:t>
            </w:r>
          </w:p>
          <w:p w14:paraId="30623BF6" w14:textId="77777777" w:rsidR="008354E8" w:rsidRPr="00CF4C67" w:rsidRDefault="008354E8" w:rsidP="00C21C70">
            <w:pPr>
              <w:pStyle w:val="NormalWeb"/>
              <w:spacing w:before="0" w:beforeAutospacing="0" w:after="0" w:afterAutospacing="0"/>
              <w:rPr>
                <w:sz w:val="16"/>
                <w:szCs w:val="16"/>
                <w:lang w:val="en-GB"/>
              </w:rPr>
            </w:pPr>
          </w:p>
          <w:p w14:paraId="43A32C33" w14:textId="77777777" w:rsidR="008354E8" w:rsidRPr="00CF4C67" w:rsidRDefault="008354E8" w:rsidP="00C21C70">
            <w:pPr>
              <w:pStyle w:val="NormalWeb"/>
              <w:spacing w:before="0" w:beforeAutospacing="0" w:after="0" w:afterAutospacing="0"/>
              <w:rPr>
                <w:sz w:val="16"/>
                <w:szCs w:val="16"/>
                <w:lang w:val="en-GB"/>
              </w:rPr>
            </w:pPr>
          </w:p>
          <w:p w14:paraId="65E38694" w14:textId="77777777" w:rsidR="008354E8" w:rsidRPr="00CF4C67" w:rsidRDefault="008354E8" w:rsidP="00C21C70">
            <w:pPr>
              <w:pStyle w:val="NormalWeb"/>
              <w:spacing w:before="0" w:beforeAutospacing="0" w:after="0" w:afterAutospacing="0"/>
              <w:rPr>
                <w:rFonts w:ascii="Arial" w:hAnsi="Arial" w:cs="Arial"/>
                <w:color w:val="000000"/>
                <w:sz w:val="16"/>
                <w:szCs w:val="16"/>
              </w:rPr>
            </w:pPr>
            <w:r w:rsidRPr="00CF4C67">
              <w:rPr>
                <w:rFonts w:ascii="Arial" w:hAnsi="Arial" w:cs="Arial"/>
                <w:color w:val="000000"/>
                <w:sz w:val="16"/>
                <w:szCs w:val="16"/>
              </w:rPr>
              <w:t xml:space="preserve">Full list of uncertainty types </w:t>
            </w:r>
            <w:r w:rsidRPr="00CF4C67">
              <w:rPr>
                <w:rFonts w:ascii="Arial" w:hAnsi="Arial" w:cs="Arial"/>
                <w:color w:val="000000"/>
                <w:sz w:val="16"/>
                <w:szCs w:val="16"/>
                <w:lang w:val="en-GB"/>
              </w:rPr>
              <w:t>below.</w:t>
            </w:r>
            <w:r w:rsidRPr="00CF4C67">
              <w:rPr>
                <w:rFonts w:ascii="Arial" w:hAnsi="Arial" w:cs="Arial"/>
                <w:color w:val="000000"/>
                <w:sz w:val="16"/>
                <w:szCs w:val="16"/>
              </w:rPr>
              <w:t> </w:t>
            </w:r>
          </w:p>
          <w:p w14:paraId="64AEC4BD" w14:textId="77777777" w:rsidR="008354E8" w:rsidRPr="00CF4C67" w:rsidRDefault="008354E8" w:rsidP="00C21C70">
            <w:pPr>
              <w:pStyle w:val="NormalWeb"/>
              <w:spacing w:before="0" w:beforeAutospacing="0" w:after="0" w:afterAutospacing="0"/>
              <w:rPr>
                <w:rFonts w:ascii="Arial" w:hAnsi="Arial" w:cs="Arial"/>
                <w:color w:val="000000"/>
                <w:sz w:val="16"/>
                <w:szCs w:val="16"/>
              </w:rPr>
            </w:pPr>
          </w:p>
          <w:p w14:paraId="1FBE72DC" w14:textId="77777777" w:rsidR="008354E8" w:rsidRPr="00CF4C67" w:rsidRDefault="008354E8" w:rsidP="00C21C70">
            <w:pPr>
              <w:pStyle w:val="NormalWeb"/>
              <w:spacing w:before="0" w:beforeAutospacing="0" w:after="0" w:afterAutospacing="0"/>
              <w:rPr>
                <w:rFonts w:ascii="Arial" w:hAnsi="Arial" w:cs="Arial"/>
                <w:color w:val="000000"/>
                <w:sz w:val="16"/>
                <w:szCs w:val="16"/>
              </w:rPr>
            </w:pPr>
            <w:r w:rsidRPr="00CF4C67">
              <w:rPr>
                <w:rFonts w:ascii="Arial" w:hAnsi="Arial" w:cs="Arial"/>
                <w:color w:val="000000"/>
                <w:sz w:val="16"/>
                <w:szCs w:val="16"/>
              </w:rPr>
              <w:t>I</w:t>
            </w:r>
            <w:r w:rsidRPr="00CF4C67">
              <w:rPr>
                <w:rFonts w:ascii="Arial" w:hAnsi="Arial" w:cs="Arial"/>
                <w:color w:val="000000"/>
                <w:sz w:val="16"/>
                <w:szCs w:val="16"/>
                <w:lang w:val="en-GB"/>
              </w:rPr>
              <w:t>f</w:t>
            </w:r>
            <w:r w:rsidRPr="00CF4C67">
              <w:rPr>
                <w:rFonts w:ascii="Arial" w:hAnsi="Arial" w:cs="Arial"/>
                <w:color w:val="000000"/>
                <w:sz w:val="16"/>
                <w:szCs w:val="16"/>
              </w:rPr>
              <w:t xml:space="preserve"> </w:t>
            </w:r>
            <w:r w:rsidRPr="00CF4C67">
              <w:rPr>
                <w:rFonts w:ascii="Arial" w:hAnsi="Arial" w:cs="Arial"/>
                <w:b/>
                <w:bCs/>
                <w:color w:val="000000"/>
                <w:sz w:val="16"/>
                <w:szCs w:val="16"/>
              </w:rPr>
              <w:t>ANSWER = N</w:t>
            </w:r>
            <w:r w:rsidRPr="00CF4C67">
              <w:rPr>
                <w:rFonts w:ascii="Arial" w:hAnsi="Arial" w:cs="Arial"/>
                <w:b/>
                <w:bCs/>
                <w:color w:val="000000"/>
                <w:sz w:val="16"/>
                <w:szCs w:val="16"/>
                <w:lang w:val="en-GB"/>
              </w:rPr>
              <w:t>o</w:t>
            </w:r>
            <w:r w:rsidRPr="00CF4C67">
              <w:rPr>
                <w:rFonts w:ascii="Arial" w:hAnsi="Arial" w:cs="Arial"/>
                <w:color w:val="000000"/>
                <w:sz w:val="16"/>
                <w:szCs w:val="16"/>
              </w:rPr>
              <w:t xml:space="preserve"> this can explain if the uncertainty is Missing (</w:t>
            </w:r>
            <w:r w:rsidRPr="00CF4C67">
              <w:rPr>
                <w:rFonts w:ascii="Arial" w:hAnsi="Arial" w:cs="Arial"/>
                <w:b/>
                <w:bCs/>
                <w:color w:val="000000"/>
                <w:sz w:val="16"/>
                <w:szCs w:val="16"/>
              </w:rPr>
              <w:t>MISS</w:t>
            </w:r>
            <w:r w:rsidRPr="00CF4C67">
              <w:rPr>
                <w:rFonts w:ascii="Arial" w:hAnsi="Arial" w:cs="Arial"/>
                <w:color w:val="000000"/>
                <w:sz w:val="16"/>
                <w:szCs w:val="16"/>
              </w:rPr>
              <w:t>), Impossible (</w:t>
            </w:r>
            <w:r w:rsidRPr="00CF4C67">
              <w:rPr>
                <w:rFonts w:ascii="Arial" w:hAnsi="Arial" w:cs="Arial"/>
                <w:b/>
                <w:bCs/>
                <w:color w:val="000000"/>
                <w:sz w:val="16"/>
                <w:szCs w:val="16"/>
              </w:rPr>
              <w:t>IM</w:t>
            </w:r>
            <w:r w:rsidRPr="00CF4C67">
              <w:rPr>
                <w:rFonts w:ascii="Arial" w:hAnsi="Arial" w:cs="Arial"/>
                <w:color w:val="000000"/>
                <w:sz w:val="16"/>
                <w:szCs w:val="16"/>
              </w:rPr>
              <w:t xml:space="preserve">), or no uncertainty in the variable </w:t>
            </w:r>
            <w:proofErr w:type="gramStart"/>
            <w:r w:rsidRPr="00CF4C67">
              <w:rPr>
                <w:rFonts w:ascii="Arial" w:hAnsi="Arial" w:cs="Arial"/>
                <w:color w:val="000000"/>
                <w:sz w:val="16"/>
                <w:szCs w:val="16"/>
              </w:rPr>
              <w:t>i.e.</w:t>
            </w:r>
            <w:proofErr w:type="gramEnd"/>
            <w:r w:rsidRPr="00CF4C67">
              <w:rPr>
                <w:rFonts w:ascii="Arial" w:hAnsi="Arial" w:cs="Arial"/>
                <w:color w:val="000000"/>
                <w:sz w:val="16"/>
                <w:szCs w:val="16"/>
              </w:rPr>
              <w:t xml:space="preserve"> uncertainty is not relevant for this variable (</w:t>
            </w:r>
            <w:r w:rsidRPr="00CF4C67">
              <w:rPr>
                <w:rFonts w:ascii="Arial" w:hAnsi="Arial" w:cs="Arial"/>
                <w:b/>
                <w:bCs/>
                <w:color w:val="000000"/>
                <w:sz w:val="16"/>
                <w:szCs w:val="16"/>
              </w:rPr>
              <w:t>NU</w:t>
            </w:r>
            <w:r w:rsidRPr="00CF4C67">
              <w:rPr>
                <w:rFonts w:ascii="Arial" w:hAnsi="Arial" w:cs="Arial"/>
                <w:color w:val="000000"/>
                <w:sz w:val="16"/>
                <w:szCs w:val="16"/>
              </w:rPr>
              <w:t xml:space="preserve">), </w:t>
            </w:r>
            <w:r w:rsidRPr="00CF4C67">
              <w:rPr>
                <w:rFonts w:ascii="Arial" w:hAnsi="Arial" w:cs="Arial"/>
                <w:b/>
                <w:bCs/>
                <w:color w:val="000000"/>
                <w:sz w:val="16"/>
                <w:szCs w:val="16"/>
              </w:rPr>
              <w:t xml:space="preserve">Not propagated </w:t>
            </w:r>
            <w:r w:rsidRPr="00CF4C67">
              <w:rPr>
                <w:rFonts w:ascii="Arial" w:hAnsi="Arial" w:cs="Arial"/>
                <w:color w:val="000000"/>
                <w:sz w:val="16"/>
                <w:szCs w:val="16"/>
              </w:rPr>
              <w:t>(if mentioned elsewhere but not included in model)</w:t>
            </w:r>
          </w:p>
          <w:p w14:paraId="6849207C" w14:textId="77777777" w:rsidR="008354E8" w:rsidRPr="00CF4C67" w:rsidRDefault="008354E8" w:rsidP="00C21C70">
            <w:pPr>
              <w:pStyle w:val="NormalWeb"/>
              <w:spacing w:before="0" w:beforeAutospacing="0" w:after="0" w:afterAutospacing="0"/>
              <w:rPr>
                <w:sz w:val="16"/>
                <w:szCs w:val="16"/>
              </w:rPr>
            </w:pPr>
          </w:p>
          <w:p w14:paraId="58702896"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 xml:space="preserve">Can also </w:t>
            </w:r>
            <w:proofErr w:type="gramStart"/>
            <w:r w:rsidRPr="00CF4C67">
              <w:rPr>
                <w:rFonts w:ascii="Arial" w:hAnsi="Arial" w:cs="Arial"/>
                <w:color w:val="000000"/>
                <w:sz w:val="16"/>
                <w:szCs w:val="16"/>
              </w:rPr>
              <w:t>include:</w:t>
            </w:r>
            <w:proofErr w:type="gramEnd"/>
            <w:r w:rsidRPr="00CF4C67">
              <w:rPr>
                <w:rFonts w:ascii="Arial" w:hAnsi="Arial" w:cs="Arial"/>
                <w:color w:val="000000"/>
                <w:sz w:val="16"/>
                <w:szCs w:val="16"/>
              </w:rPr>
              <w:t xml:space="preserve"> </w:t>
            </w:r>
            <w:r w:rsidRPr="00CF4C67">
              <w:rPr>
                <w:rFonts w:ascii="Arial" w:hAnsi="Arial" w:cs="Arial"/>
                <w:b/>
                <w:bCs/>
                <w:color w:val="000000"/>
                <w:sz w:val="16"/>
                <w:szCs w:val="16"/>
              </w:rPr>
              <w:t>NA, I don’t know, can’t tell</w:t>
            </w:r>
            <w:r w:rsidRPr="00CF4C67">
              <w:rPr>
                <w:rFonts w:ascii="Arial" w:hAnsi="Arial" w:cs="Arial"/>
                <w:color w:val="000000"/>
                <w:sz w:val="16"/>
                <w:szCs w:val="16"/>
              </w:rPr>
              <w:t>.</w:t>
            </w:r>
          </w:p>
        </w:tc>
        <w:tc>
          <w:tcPr>
            <w:tcW w:w="1268" w:type="dxa"/>
            <w:vMerge w:val="restart"/>
            <w:tcMar>
              <w:top w:w="0" w:type="dxa"/>
              <w:left w:w="45" w:type="dxa"/>
              <w:bottom w:w="0" w:type="dxa"/>
              <w:right w:w="45" w:type="dxa"/>
            </w:tcMar>
            <w:vAlign w:val="center"/>
            <w:hideMark/>
          </w:tcPr>
          <w:p w14:paraId="61D1DFC7" w14:textId="77777777" w:rsidR="008354E8" w:rsidRPr="00CF4C67" w:rsidRDefault="008354E8" w:rsidP="00C21C70">
            <w:pPr>
              <w:pStyle w:val="NormalWeb"/>
              <w:spacing w:before="0" w:beforeAutospacing="0" w:after="0" w:afterAutospacing="0"/>
              <w:rPr>
                <w:sz w:val="16"/>
                <w:szCs w:val="16"/>
              </w:rPr>
            </w:pPr>
          </w:p>
        </w:tc>
        <w:tc>
          <w:tcPr>
            <w:tcW w:w="1132" w:type="dxa"/>
            <w:vMerge w:val="restart"/>
            <w:tcMar>
              <w:top w:w="0" w:type="dxa"/>
              <w:left w:w="45" w:type="dxa"/>
              <w:bottom w:w="0" w:type="dxa"/>
              <w:right w:w="45" w:type="dxa"/>
            </w:tcMar>
            <w:vAlign w:val="center"/>
            <w:hideMark/>
          </w:tcPr>
          <w:p w14:paraId="4B82B49A" w14:textId="77777777" w:rsidR="008354E8" w:rsidRPr="00CF4C67" w:rsidRDefault="008354E8" w:rsidP="00C21C70">
            <w:pPr>
              <w:pStyle w:val="NormalWeb"/>
              <w:spacing w:before="0" w:beforeAutospacing="0" w:after="0" w:afterAutospacing="0"/>
              <w:rPr>
                <w:sz w:val="16"/>
                <w:szCs w:val="16"/>
              </w:rPr>
            </w:pPr>
          </w:p>
        </w:tc>
        <w:tc>
          <w:tcPr>
            <w:tcW w:w="1266" w:type="dxa"/>
            <w:vMerge/>
            <w:tcMar>
              <w:top w:w="0" w:type="dxa"/>
              <w:left w:w="45" w:type="dxa"/>
              <w:bottom w:w="0" w:type="dxa"/>
              <w:right w:w="45" w:type="dxa"/>
            </w:tcMar>
            <w:vAlign w:val="bottom"/>
            <w:hideMark/>
          </w:tcPr>
          <w:p w14:paraId="70575394" w14:textId="77777777" w:rsidR="008354E8" w:rsidRPr="00CF4C67" w:rsidRDefault="008354E8" w:rsidP="00C21C70">
            <w:pPr>
              <w:pStyle w:val="NormalWeb"/>
              <w:spacing w:before="0" w:after="0"/>
              <w:rPr>
                <w:sz w:val="16"/>
                <w:szCs w:val="16"/>
              </w:rPr>
            </w:pPr>
          </w:p>
        </w:tc>
      </w:tr>
      <w:tr w:rsidR="00F82C75" w:rsidRPr="00CF4C67" w14:paraId="41A0D5FE" w14:textId="77777777" w:rsidTr="00C21C70">
        <w:trPr>
          <w:trHeight w:val="1918"/>
        </w:trPr>
        <w:tc>
          <w:tcPr>
            <w:tcW w:w="0" w:type="auto"/>
            <w:vMerge w:val="restart"/>
            <w:shd w:val="clear" w:color="auto" w:fill="D9D9D9"/>
            <w:vAlign w:val="center"/>
          </w:tcPr>
          <w:p w14:paraId="4A561637" w14:textId="77777777" w:rsidR="008354E8" w:rsidRPr="00CF4C67" w:rsidRDefault="008354E8" w:rsidP="00C21C70">
            <w:pPr>
              <w:pStyle w:val="NormalWeb"/>
              <w:spacing w:before="0" w:beforeAutospacing="0" w:after="0" w:afterAutospacing="0"/>
              <w:jc w:val="center"/>
              <w:rPr>
                <w:rFonts w:ascii="Arial" w:hAnsi="Arial" w:cs="Arial"/>
                <w:b/>
                <w:bCs/>
                <w:color w:val="000000" w:themeColor="text1"/>
                <w:sz w:val="16"/>
                <w:szCs w:val="16"/>
                <w:lang w:val="en-GB"/>
              </w:rPr>
            </w:pPr>
            <w:r w:rsidRPr="00CF4C67">
              <w:rPr>
                <w:rFonts w:ascii="Arial" w:hAnsi="Arial" w:cs="Arial"/>
                <w:b/>
                <w:bCs/>
                <w:color w:val="000000" w:themeColor="text1"/>
                <w:sz w:val="16"/>
                <w:szCs w:val="16"/>
                <w:lang w:val="en-GB"/>
              </w:rPr>
              <w:lastRenderedPageBreak/>
              <w:t>4</w:t>
            </w:r>
          </w:p>
        </w:tc>
        <w:tc>
          <w:tcPr>
            <w:tcW w:w="1137" w:type="dxa"/>
            <w:vMerge w:val="restart"/>
            <w:shd w:val="clear" w:color="auto" w:fill="D9D9D9"/>
            <w:tcMar>
              <w:top w:w="0" w:type="dxa"/>
              <w:left w:w="45" w:type="dxa"/>
              <w:bottom w:w="0" w:type="dxa"/>
              <w:right w:w="45" w:type="dxa"/>
            </w:tcMar>
            <w:vAlign w:val="center"/>
            <w:hideMark/>
          </w:tcPr>
          <w:p w14:paraId="639F2122" w14:textId="77777777" w:rsidR="008354E8" w:rsidRPr="00CF4C67" w:rsidRDefault="008354E8" w:rsidP="00C21C70">
            <w:pPr>
              <w:pStyle w:val="NormalWeb"/>
              <w:spacing w:before="0" w:beforeAutospacing="0" w:after="0" w:afterAutospacing="0"/>
              <w:rPr>
                <w:color w:val="000000" w:themeColor="text1"/>
                <w:sz w:val="16"/>
                <w:szCs w:val="16"/>
              </w:rPr>
            </w:pPr>
            <w:r w:rsidRPr="00CF4C67">
              <w:rPr>
                <w:rFonts w:ascii="Arial" w:hAnsi="Arial" w:cs="Arial"/>
                <w:color w:val="000000" w:themeColor="text1"/>
                <w:sz w:val="16"/>
                <w:szCs w:val="16"/>
              </w:rPr>
              <w:t>Is the uncertainty in the model structure included (reported in the paper)?</w:t>
            </w:r>
          </w:p>
        </w:tc>
        <w:tc>
          <w:tcPr>
            <w:tcW w:w="1620" w:type="dxa"/>
            <w:vMerge w:val="restart"/>
            <w:shd w:val="clear" w:color="auto" w:fill="D9D9D9"/>
            <w:tcMar>
              <w:top w:w="0" w:type="dxa"/>
              <w:left w:w="45" w:type="dxa"/>
              <w:bottom w:w="0" w:type="dxa"/>
              <w:right w:w="45" w:type="dxa"/>
            </w:tcMar>
            <w:vAlign w:val="center"/>
            <w:hideMark/>
          </w:tcPr>
          <w:p w14:paraId="6AC6F76E" w14:textId="77777777" w:rsidR="008354E8" w:rsidRPr="00CF4C67" w:rsidRDefault="008354E8" w:rsidP="00C21C70">
            <w:pPr>
              <w:pStyle w:val="NormalWeb"/>
              <w:spacing w:before="0" w:beforeAutospacing="0" w:after="0" w:afterAutospacing="0"/>
              <w:rPr>
                <w:color w:val="000000" w:themeColor="text1"/>
                <w:sz w:val="16"/>
                <w:szCs w:val="16"/>
              </w:rPr>
            </w:pPr>
            <w:r w:rsidRPr="00CF4C67">
              <w:rPr>
                <w:rFonts w:ascii="Arial" w:hAnsi="Arial" w:cs="Arial"/>
                <w:color w:val="000000" w:themeColor="text1"/>
                <w:sz w:val="16"/>
                <w:szCs w:val="16"/>
              </w:rPr>
              <w:t xml:space="preserve">For the model you are looking at, do the authors consider how other model types/structures </w:t>
            </w:r>
            <w:proofErr w:type="spellStart"/>
            <w:r w:rsidRPr="00CF4C67">
              <w:rPr>
                <w:rFonts w:ascii="Arial" w:hAnsi="Arial" w:cs="Arial"/>
                <w:color w:val="000000" w:themeColor="text1"/>
                <w:sz w:val="16"/>
                <w:szCs w:val="16"/>
              </w:rPr>
              <w:t>etc</w:t>
            </w:r>
            <w:proofErr w:type="spellEnd"/>
            <w:r w:rsidRPr="00CF4C67">
              <w:rPr>
                <w:rFonts w:ascii="Arial" w:hAnsi="Arial" w:cs="Arial"/>
                <w:color w:val="000000" w:themeColor="text1"/>
                <w:sz w:val="16"/>
                <w:szCs w:val="16"/>
              </w:rPr>
              <w:t xml:space="preserve"> might have performed? Or give any range of answers?</w:t>
            </w:r>
          </w:p>
          <w:p w14:paraId="6E0F2E3F" w14:textId="77777777" w:rsidR="008354E8" w:rsidRPr="00CF4C67" w:rsidRDefault="008354E8" w:rsidP="00C21C70">
            <w:pPr>
              <w:rPr>
                <w:color w:val="000000" w:themeColor="text1"/>
                <w:sz w:val="16"/>
                <w:szCs w:val="16"/>
              </w:rPr>
            </w:pPr>
          </w:p>
          <w:p w14:paraId="576E0751" w14:textId="77777777" w:rsidR="008354E8" w:rsidRPr="00CF4C67" w:rsidRDefault="008354E8" w:rsidP="00C21C70">
            <w:pPr>
              <w:pStyle w:val="NormalWeb"/>
              <w:spacing w:before="0" w:beforeAutospacing="0" w:after="0" w:afterAutospacing="0"/>
              <w:rPr>
                <w:color w:val="000000" w:themeColor="text1"/>
                <w:sz w:val="16"/>
                <w:szCs w:val="16"/>
              </w:rPr>
            </w:pPr>
            <w:r w:rsidRPr="00CF4C67">
              <w:rPr>
                <w:rFonts w:ascii="Arial" w:hAnsi="Arial" w:cs="Arial"/>
                <w:color w:val="000000" w:themeColor="text1"/>
                <w:sz w:val="16"/>
                <w:szCs w:val="16"/>
              </w:rPr>
              <w:t>This question goes beyond the focal model as it can include comparison to other models</w:t>
            </w:r>
          </w:p>
        </w:tc>
        <w:tc>
          <w:tcPr>
            <w:tcW w:w="1787" w:type="dxa"/>
            <w:vMerge w:val="restart"/>
            <w:tcMar>
              <w:top w:w="0" w:type="dxa"/>
              <w:left w:w="45" w:type="dxa"/>
              <w:bottom w:w="0" w:type="dxa"/>
              <w:right w:w="45" w:type="dxa"/>
            </w:tcMar>
            <w:vAlign w:val="center"/>
            <w:hideMark/>
          </w:tcPr>
          <w:p w14:paraId="331BA5F0" w14:textId="77777777" w:rsidR="008354E8" w:rsidRPr="00CF4C67" w:rsidRDefault="008354E8" w:rsidP="00C21C70">
            <w:pPr>
              <w:pStyle w:val="NormalWeb"/>
              <w:spacing w:before="0" w:beforeAutospacing="0" w:after="0" w:afterAutospacing="0"/>
              <w:rPr>
                <w:color w:val="000000" w:themeColor="text1"/>
                <w:sz w:val="16"/>
                <w:szCs w:val="16"/>
              </w:rPr>
            </w:pPr>
            <w:r w:rsidRPr="00CF4C67">
              <w:rPr>
                <w:rFonts w:ascii="Arial" w:hAnsi="Arial" w:cs="Arial"/>
                <w:b/>
                <w:bCs/>
                <w:color w:val="000000" w:themeColor="text1"/>
                <w:sz w:val="16"/>
                <w:szCs w:val="16"/>
              </w:rPr>
              <w:t>Yes/No/NA</w:t>
            </w:r>
          </w:p>
          <w:p w14:paraId="46B9B729" w14:textId="77777777" w:rsidR="008354E8" w:rsidRPr="00CF4C67" w:rsidRDefault="008354E8" w:rsidP="00C21C70">
            <w:pPr>
              <w:rPr>
                <w:color w:val="000000" w:themeColor="text1"/>
                <w:sz w:val="16"/>
                <w:szCs w:val="16"/>
              </w:rPr>
            </w:pPr>
          </w:p>
          <w:p w14:paraId="5DB48AF7" w14:textId="77777777" w:rsidR="008354E8" w:rsidRPr="00CF4C67" w:rsidRDefault="008354E8" w:rsidP="00C21C70">
            <w:pPr>
              <w:pStyle w:val="NormalWeb"/>
              <w:spacing w:before="0" w:beforeAutospacing="0" w:after="0" w:afterAutospacing="0"/>
              <w:rPr>
                <w:color w:val="000000" w:themeColor="text1"/>
                <w:sz w:val="16"/>
                <w:szCs w:val="16"/>
              </w:rPr>
            </w:pPr>
            <w:proofErr w:type="gramStart"/>
            <w:r w:rsidRPr="00CF4C67">
              <w:rPr>
                <w:rFonts w:ascii="Arial" w:hAnsi="Arial" w:cs="Arial"/>
                <w:b/>
                <w:bCs/>
                <w:color w:val="000000" w:themeColor="text1"/>
                <w:sz w:val="16"/>
                <w:szCs w:val="16"/>
              </w:rPr>
              <w:t>Yes</w:t>
            </w:r>
            <w:proofErr w:type="gramEnd"/>
            <w:r w:rsidRPr="00CF4C67">
              <w:rPr>
                <w:rFonts w:ascii="Arial" w:hAnsi="Arial" w:cs="Arial"/>
                <w:color w:val="000000" w:themeColor="text1"/>
                <w:sz w:val="16"/>
                <w:szCs w:val="16"/>
              </w:rPr>
              <w:t xml:space="preserve"> if there is uncertainty reported and it is accounted for in the focal model e.g. measurement error is quantified, the variable is corrected and then used in the model. </w:t>
            </w:r>
          </w:p>
          <w:p w14:paraId="72441539" w14:textId="77777777" w:rsidR="008354E8" w:rsidRPr="00CF4C67" w:rsidRDefault="008354E8" w:rsidP="00C21C70">
            <w:pPr>
              <w:rPr>
                <w:color w:val="000000" w:themeColor="text1"/>
                <w:sz w:val="16"/>
                <w:szCs w:val="16"/>
              </w:rPr>
            </w:pPr>
          </w:p>
          <w:p w14:paraId="38EF1056" w14:textId="77777777" w:rsidR="008354E8" w:rsidRPr="00CF4C67" w:rsidRDefault="008354E8" w:rsidP="00C21C70">
            <w:pPr>
              <w:pStyle w:val="NormalWeb"/>
              <w:spacing w:before="0" w:beforeAutospacing="0" w:after="0" w:afterAutospacing="0"/>
              <w:rPr>
                <w:color w:val="000000" w:themeColor="text1"/>
                <w:sz w:val="16"/>
                <w:szCs w:val="16"/>
              </w:rPr>
            </w:pPr>
            <w:r w:rsidRPr="00CF4C67">
              <w:rPr>
                <w:rFonts w:ascii="Arial" w:hAnsi="Arial" w:cs="Arial"/>
                <w:b/>
                <w:bCs/>
                <w:color w:val="000000" w:themeColor="text1"/>
                <w:sz w:val="16"/>
                <w:szCs w:val="16"/>
              </w:rPr>
              <w:t>No</w:t>
            </w:r>
            <w:r w:rsidRPr="00CF4C67">
              <w:rPr>
                <w:rFonts w:ascii="Arial" w:hAnsi="Arial" w:cs="Arial"/>
                <w:color w:val="000000" w:themeColor="text1"/>
                <w:sz w:val="16"/>
                <w:szCs w:val="16"/>
              </w:rPr>
              <w:t xml:space="preserve"> if there is no uncertainty reported and if it is not explicitly accounted for in the model. This should be the answer even if the uncertainty CAN’T be quantified. That will be covered in the </w:t>
            </w:r>
            <w:proofErr w:type="gramStart"/>
            <w:r w:rsidRPr="00CF4C67">
              <w:rPr>
                <w:rFonts w:ascii="Arial" w:hAnsi="Arial" w:cs="Arial"/>
                <w:color w:val="000000" w:themeColor="text1"/>
                <w:sz w:val="16"/>
                <w:szCs w:val="16"/>
              </w:rPr>
              <w:t>details</w:t>
            </w:r>
            <w:proofErr w:type="gramEnd"/>
            <w:r w:rsidRPr="00CF4C67">
              <w:rPr>
                <w:rFonts w:ascii="Arial" w:hAnsi="Arial" w:cs="Arial"/>
                <w:color w:val="000000" w:themeColor="text1"/>
                <w:sz w:val="16"/>
                <w:szCs w:val="16"/>
              </w:rPr>
              <w:t xml:space="preserve"> column.</w:t>
            </w:r>
          </w:p>
          <w:p w14:paraId="46528AFC" w14:textId="77777777" w:rsidR="008354E8" w:rsidRPr="00CF4C67" w:rsidRDefault="008354E8" w:rsidP="00C21C70">
            <w:pPr>
              <w:rPr>
                <w:color w:val="000000" w:themeColor="text1"/>
                <w:sz w:val="16"/>
                <w:szCs w:val="16"/>
              </w:rPr>
            </w:pPr>
          </w:p>
          <w:p w14:paraId="67AAB3EB" w14:textId="77777777" w:rsidR="008354E8" w:rsidRPr="00CF4C67" w:rsidRDefault="008354E8" w:rsidP="00C21C70">
            <w:pPr>
              <w:pStyle w:val="NormalWeb"/>
              <w:spacing w:before="0" w:beforeAutospacing="0" w:after="0" w:afterAutospacing="0"/>
              <w:rPr>
                <w:color w:val="000000" w:themeColor="text1"/>
                <w:sz w:val="16"/>
                <w:szCs w:val="16"/>
              </w:rPr>
            </w:pPr>
            <w:r w:rsidRPr="00CF4C67">
              <w:rPr>
                <w:rFonts w:ascii="Arial" w:hAnsi="Arial" w:cs="Arial"/>
                <w:b/>
                <w:bCs/>
                <w:color w:val="000000" w:themeColor="text1"/>
                <w:sz w:val="16"/>
                <w:szCs w:val="16"/>
              </w:rPr>
              <w:t>NA</w:t>
            </w:r>
            <w:r w:rsidRPr="00CF4C67">
              <w:rPr>
                <w:rFonts w:ascii="Arial" w:hAnsi="Arial" w:cs="Arial"/>
                <w:color w:val="000000" w:themeColor="text1"/>
                <w:sz w:val="16"/>
                <w:szCs w:val="16"/>
              </w:rPr>
              <w:t xml:space="preserve"> should be used when the component is not present in the model.</w:t>
            </w:r>
          </w:p>
          <w:p w14:paraId="1AC53E6D" w14:textId="77777777" w:rsidR="008354E8" w:rsidRPr="00CF4C67" w:rsidRDefault="008354E8" w:rsidP="00C21C70">
            <w:pPr>
              <w:rPr>
                <w:color w:val="000000" w:themeColor="text1"/>
                <w:sz w:val="16"/>
                <w:szCs w:val="16"/>
              </w:rPr>
            </w:pPr>
          </w:p>
          <w:p w14:paraId="1BF89F56"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themeColor="text1"/>
                <w:sz w:val="16"/>
                <w:szCs w:val="16"/>
              </w:rPr>
              <w:t xml:space="preserve">Can be Yes for sensitivity analysis that looks at model structure but </w:t>
            </w:r>
            <w:r w:rsidRPr="00CF4C67">
              <w:rPr>
                <w:rFonts w:ascii="Arial" w:hAnsi="Arial" w:cs="Arial"/>
                <w:color w:val="000000" w:themeColor="text1"/>
                <w:sz w:val="16"/>
                <w:szCs w:val="16"/>
                <w:lang w:val="en-GB"/>
              </w:rPr>
              <w:t>not</w:t>
            </w:r>
            <w:r w:rsidRPr="00CF4C67">
              <w:rPr>
                <w:rFonts w:ascii="Arial" w:hAnsi="Arial" w:cs="Arial"/>
                <w:color w:val="000000" w:themeColor="text1"/>
                <w:sz w:val="16"/>
                <w:szCs w:val="16"/>
              </w:rPr>
              <w:t xml:space="preserve"> for those looking at sub-groups only </w:t>
            </w:r>
            <w:proofErr w:type="gramStart"/>
            <w:r w:rsidRPr="00CF4C67">
              <w:rPr>
                <w:rFonts w:ascii="Arial" w:hAnsi="Arial" w:cs="Arial"/>
                <w:color w:val="000000" w:themeColor="text1"/>
                <w:sz w:val="16"/>
                <w:szCs w:val="16"/>
              </w:rPr>
              <w:t>e.g.</w:t>
            </w:r>
            <w:proofErr w:type="gramEnd"/>
            <w:r w:rsidRPr="00CF4C67">
              <w:rPr>
                <w:rFonts w:ascii="Arial" w:hAnsi="Arial" w:cs="Arial"/>
                <w:color w:val="000000" w:themeColor="text1"/>
                <w:sz w:val="16"/>
                <w:szCs w:val="16"/>
              </w:rPr>
              <w:t xml:space="preserve"> removing smokers.</w:t>
            </w:r>
          </w:p>
        </w:tc>
        <w:tc>
          <w:tcPr>
            <w:tcW w:w="1721" w:type="dxa"/>
            <w:vMerge w:val="restart"/>
            <w:tcMar>
              <w:top w:w="0" w:type="dxa"/>
              <w:left w:w="45" w:type="dxa"/>
              <w:bottom w:w="0" w:type="dxa"/>
              <w:right w:w="45" w:type="dxa"/>
            </w:tcMar>
            <w:vAlign w:val="center"/>
            <w:hideMark/>
          </w:tcPr>
          <w:p w14:paraId="2C056183"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I</w:t>
            </w:r>
            <w:r w:rsidRPr="00CF4C67">
              <w:rPr>
                <w:rFonts w:ascii="Arial" w:hAnsi="Arial" w:cs="Arial"/>
                <w:color w:val="000000"/>
                <w:sz w:val="16"/>
                <w:szCs w:val="16"/>
                <w:lang w:val="en-GB"/>
              </w:rPr>
              <w:t>f</w:t>
            </w:r>
            <w:r w:rsidRPr="00CF4C67">
              <w:rPr>
                <w:rFonts w:ascii="Arial" w:hAnsi="Arial" w:cs="Arial"/>
                <w:color w:val="000000"/>
                <w:sz w:val="16"/>
                <w:szCs w:val="16"/>
              </w:rPr>
              <w:t xml:space="preserve"> </w:t>
            </w:r>
            <w:r w:rsidRPr="00CF4C67">
              <w:rPr>
                <w:rFonts w:ascii="Arial" w:hAnsi="Arial" w:cs="Arial"/>
                <w:b/>
                <w:bCs/>
                <w:color w:val="000000"/>
                <w:sz w:val="16"/>
                <w:szCs w:val="16"/>
              </w:rPr>
              <w:t xml:space="preserve">ANSWER = </w:t>
            </w:r>
            <w:proofErr w:type="gramStart"/>
            <w:r w:rsidRPr="00CF4C67">
              <w:rPr>
                <w:rFonts w:ascii="Arial" w:hAnsi="Arial" w:cs="Arial"/>
                <w:b/>
                <w:bCs/>
                <w:color w:val="000000"/>
                <w:sz w:val="16"/>
                <w:szCs w:val="16"/>
              </w:rPr>
              <w:t>Y</w:t>
            </w:r>
            <w:r w:rsidRPr="00CF4C67">
              <w:rPr>
                <w:rFonts w:ascii="Arial" w:hAnsi="Arial" w:cs="Arial"/>
                <w:b/>
                <w:bCs/>
                <w:color w:val="000000"/>
                <w:sz w:val="16"/>
                <w:szCs w:val="16"/>
                <w:lang w:val="en-GB"/>
              </w:rPr>
              <w:t>es</w:t>
            </w:r>
            <w:proofErr w:type="gramEnd"/>
            <w:r w:rsidRPr="00CF4C67">
              <w:rPr>
                <w:rFonts w:ascii="Arial" w:hAnsi="Arial" w:cs="Arial"/>
                <w:color w:val="000000"/>
                <w:sz w:val="16"/>
                <w:szCs w:val="16"/>
              </w:rPr>
              <w:t xml:space="preserve"> this should cover the type of uncertainty</w:t>
            </w:r>
            <w:r w:rsidRPr="00CF4C67">
              <w:rPr>
                <w:rFonts w:ascii="Arial" w:hAnsi="Arial" w:cs="Arial"/>
                <w:color w:val="000000"/>
                <w:sz w:val="16"/>
                <w:szCs w:val="16"/>
                <w:lang w:val="en-GB"/>
              </w:rPr>
              <w:t xml:space="preserve"> that has been reported</w:t>
            </w:r>
            <w:r w:rsidRPr="00CF4C67">
              <w:rPr>
                <w:rFonts w:ascii="Arial" w:hAnsi="Arial" w:cs="Arial"/>
                <w:color w:val="000000"/>
                <w:sz w:val="16"/>
                <w:szCs w:val="16"/>
              </w:rPr>
              <w:t xml:space="preserve"> e.g.</w:t>
            </w:r>
          </w:p>
          <w:p w14:paraId="657AAC10" w14:textId="77777777" w:rsidR="008354E8" w:rsidRPr="00CF4C67" w:rsidRDefault="008354E8" w:rsidP="00C21C70">
            <w:pPr>
              <w:pStyle w:val="NormalWeb"/>
              <w:spacing w:before="0" w:beforeAutospacing="0" w:after="0" w:afterAutospacing="0"/>
              <w:rPr>
                <w:rFonts w:ascii="Arial" w:hAnsi="Arial" w:cs="Arial"/>
                <w:color w:val="000000"/>
                <w:sz w:val="16"/>
                <w:szCs w:val="16"/>
                <w:lang w:val="en-GB"/>
              </w:rPr>
            </w:pPr>
            <w:r w:rsidRPr="00CF4C67">
              <w:rPr>
                <w:rFonts w:ascii="Arial" w:hAnsi="Arial" w:cs="Arial"/>
                <w:color w:val="000000"/>
                <w:sz w:val="16"/>
                <w:szCs w:val="16"/>
                <w:lang w:val="en-GB"/>
              </w:rPr>
              <w:t>Model comparison</w:t>
            </w:r>
            <w:r w:rsidRPr="00CF4C67">
              <w:rPr>
                <w:rFonts w:ascii="Arial" w:hAnsi="Arial" w:cs="Arial"/>
                <w:color w:val="000000"/>
                <w:sz w:val="16"/>
                <w:szCs w:val="16"/>
              </w:rPr>
              <w:t xml:space="preserve"> (</w:t>
            </w:r>
            <w:r w:rsidRPr="00CF4C67">
              <w:rPr>
                <w:rFonts w:ascii="Arial" w:hAnsi="Arial" w:cs="Arial"/>
                <w:b/>
                <w:bCs/>
                <w:color w:val="000000"/>
                <w:sz w:val="16"/>
                <w:szCs w:val="16"/>
                <w:lang w:val="en-GB"/>
              </w:rPr>
              <w:t>MC</w:t>
            </w:r>
            <w:r w:rsidRPr="00CF4C67">
              <w:rPr>
                <w:rFonts w:ascii="Arial" w:hAnsi="Arial" w:cs="Arial"/>
                <w:color w:val="000000"/>
                <w:sz w:val="16"/>
                <w:szCs w:val="16"/>
              </w:rPr>
              <w:t xml:space="preserve">), </w:t>
            </w:r>
            <w:r w:rsidRPr="00CF4C67">
              <w:rPr>
                <w:rFonts w:ascii="Arial" w:hAnsi="Arial" w:cs="Arial"/>
                <w:color w:val="000000"/>
                <w:sz w:val="16"/>
                <w:szCs w:val="16"/>
                <w:lang w:val="en-GB"/>
              </w:rPr>
              <w:t>model averaging</w:t>
            </w:r>
            <w:r w:rsidRPr="00CF4C67">
              <w:rPr>
                <w:rFonts w:ascii="Arial" w:hAnsi="Arial" w:cs="Arial"/>
                <w:color w:val="000000"/>
                <w:sz w:val="16"/>
                <w:szCs w:val="16"/>
              </w:rPr>
              <w:t xml:space="preserve"> (</w:t>
            </w:r>
            <w:r w:rsidRPr="00CF4C67">
              <w:rPr>
                <w:rFonts w:ascii="Arial" w:hAnsi="Arial" w:cs="Arial"/>
                <w:b/>
                <w:bCs/>
                <w:color w:val="000000"/>
                <w:sz w:val="16"/>
                <w:szCs w:val="16"/>
                <w:lang w:val="en-GB"/>
              </w:rPr>
              <w:t>MA</w:t>
            </w:r>
            <w:r w:rsidRPr="00CF4C67">
              <w:rPr>
                <w:rFonts w:ascii="Arial" w:hAnsi="Arial" w:cs="Arial"/>
                <w:color w:val="000000"/>
                <w:sz w:val="16"/>
                <w:szCs w:val="16"/>
              </w:rPr>
              <w:t xml:space="preserve">), </w:t>
            </w:r>
            <w:r w:rsidRPr="00CF4C67">
              <w:rPr>
                <w:rFonts w:ascii="Arial" w:hAnsi="Arial" w:cs="Arial"/>
                <w:color w:val="000000"/>
                <w:sz w:val="16"/>
                <w:szCs w:val="16"/>
                <w:lang w:val="en-GB"/>
              </w:rPr>
              <w:t>Ensemble</w:t>
            </w:r>
            <w:r w:rsidRPr="00CF4C67">
              <w:rPr>
                <w:rFonts w:ascii="Arial" w:hAnsi="Arial" w:cs="Arial"/>
                <w:color w:val="000000"/>
                <w:sz w:val="16"/>
                <w:szCs w:val="16"/>
              </w:rPr>
              <w:t xml:space="preserve"> (</w:t>
            </w:r>
            <w:r w:rsidRPr="00CF4C67">
              <w:rPr>
                <w:rFonts w:ascii="Arial" w:hAnsi="Arial" w:cs="Arial"/>
                <w:b/>
                <w:bCs/>
                <w:color w:val="000000"/>
                <w:sz w:val="16"/>
                <w:szCs w:val="16"/>
                <w:lang w:val="en-GB"/>
              </w:rPr>
              <w:t>Ensemble</w:t>
            </w:r>
            <w:r w:rsidRPr="00CF4C67">
              <w:rPr>
                <w:rFonts w:ascii="Arial" w:hAnsi="Arial" w:cs="Arial"/>
                <w:color w:val="000000"/>
                <w:sz w:val="16"/>
                <w:szCs w:val="16"/>
              </w:rPr>
              <w:t>)</w:t>
            </w:r>
          </w:p>
          <w:p w14:paraId="2E27DAF9" w14:textId="77777777" w:rsidR="008354E8" w:rsidRPr="00CF4C67" w:rsidRDefault="008354E8" w:rsidP="00C21C70">
            <w:pPr>
              <w:pStyle w:val="NormalWeb"/>
              <w:spacing w:before="0" w:beforeAutospacing="0" w:after="0" w:afterAutospacing="0"/>
              <w:rPr>
                <w:sz w:val="16"/>
                <w:szCs w:val="16"/>
                <w:lang w:val="en-GB"/>
              </w:rPr>
            </w:pPr>
          </w:p>
          <w:p w14:paraId="4A085148" w14:textId="77777777" w:rsidR="008354E8" w:rsidRPr="00CF4C67" w:rsidRDefault="008354E8" w:rsidP="00C21C70">
            <w:pPr>
              <w:pStyle w:val="NormalWeb"/>
              <w:spacing w:before="0" w:beforeAutospacing="0" w:after="0" w:afterAutospacing="0"/>
              <w:rPr>
                <w:rFonts w:ascii="Arial" w:hAnsi="Arial" w:cs="Arial"/>
                <w:color w:val="000000"/>
                <w:sz w:val="16"/>
                <w:szCs w:val="16"/>
              </w:rPr>
            </w:pPr>
            <w:r w:rsidRPr="00CF4C67">
              <w:rPr>
                <w:rFonts w:ascii="Arial" w:hAnsi="Arial" w:cs="Arial"/>
                <w:color w:val="000000"/>
                <w:sz w:val="16"/>
                <w:szCs w:val="16"/>
              </w:rPr>
              <w:t xml:space="preserve">Full list of uncertainty types </w:t>
            </w:r>
            <w:r w:rsidRPr="00CF4C67">
              <w:rPr>
                <w:rFonts w:ascii="Arial" w:hAnsi="Arial" w:cs="Arial"/>
                <w:color w:val="000000"/>
                <w:sz w:val="16"/>
                <w:szCs w:val="16"/>
                <w:lang w:val="en-GB"/>
              </w:rPr>
              <w:t>below.</w:t>
            </w:r>
            <w:r w:rsidRPr="00CF4C67">
              <w:rPr>
                <w:rFonts w:ascii="Arial" w:hAnsi="Arial" w:cs="Arial"/>
                <w:color w:val="000000"/>
                <w:sz w:val="16"/>
                <w:szCs w:val="16"/>
              </w:rPr>
              <w:t> </w:t>
            </w:r>
          </w:p>
          <w:p w14:paraId="3C23144B" w14:textId="77777777" w:rsidR="008354E8" w:rsidRPr="00CF4C67" w:rsidRDefault="008354E8" w:rsidP="00C21C70">
            <w:pPr>
              <w:pStyle w:val="NormalWeb"/>
              <w:spacing w:before="0" w:beforeAutospacing="0" w:after="0" w:afterAutospacing="0"/>
              <w:rPr>
                <w:rFonts w:ascii="Arial" w:hAnsi="Arial" w:cs="Arial"/>
                <w:color w:val="000000"/>
                <w:sz w:val="16"/>
                <w:szCs w:val="16"/>
              </w:rPr>
            </w:pPr>
          </w:p>
          <w:p w14:paraId="28CE529F" w14:textId="77777777" w:rsidR="008354E8" w:rsidRPr="00CF4C67" w:rsidRDefault="008354E8" w:rsidP="00C21C70">
            <w:pPr>
              <w:pStyle w:val="NormalWeb"/>
              <w:spacing w:before="0" w:beforeAutospacing="0" w:after="0" w:afterAutospacing="0"/>
              <w:rPr>
                <w:rFonts w:ascii="Arial" w:hAnsi="Arial" w:cs="Arial"/>
                <w:color w:val="000000"/>
                <w:sz w:val="16"/>
                <w:szCs w:val="16"/>
              </w:rPr>
            </w:pPr>
            <w:r w:rsidRPr="00CF4C67">
              <w:rPr>
                <w:rFonts w:ascii="Arial" w:hAnsi="Arial" w:cs="Arial"/>
                <w:color w:val="000000"/>
                <w:sz w:val="16"/>
                <w:szCs w:val="16"/>
              </w:rPr>
              <w:t>I</w:t>
            </w:r>
            <w:r w:rsidRPr="00CF4C67">
              <w:rPr>
                <w:rFonts w:ascii="Arial" w:hAnsi="Arial" w:cs="Arial"/>
                <w:color w:val="000000"/>
                <w:sz w:val="16"/>
                <w:szCs w:val="16"/>
                <w:lang w:val="en-GB"/>
              </w:rPr>
              <w:t>f</w:t>
            </w:r>
            <w:r w:rsidRPr="00CF4C67">
              <w:rPr>
                <w:rFonts w:ascii="Arial" w:hAnsi="Arial" w:cs="Arial"/>
                <w:color w:val="000000"/>
                <w:sz w:val="16"/>
                <w:szCs w:val="16"/>
              </w:rPr>
              <w:t xml:space="preserve"> </w:t>
            </w:r>
            <w:r w:rsidRPr="00CF4C67">
              <w:rPr>
                <w:rFonts w:ascii="Arial" w:hAnsi="Arial" w:cs="Arial"/>
                <w:b/>
                <w:bCs/>
                <w:color w:val="000000"/>
                <w:sz w:val="16"/>
                <w:szCs w:val="16"/>
              </w:rPr>
              <w:t>ANSWER = N</w:t>
            </w:r>
            <w:r w:rsidRPr="00CF4C67">
              <w:rPr>
                <w:rFonts w:ascii="Arial" w:hAnsi="Arial" w:cs="Arial"/>
                <w:b/>
                <w:bCs/>
                <w:color w:val="000000"/>
                <w:sz w:val="16"/>
                <w:szCs w:val="16"/>
                <w:lang w:val="en-GB"/>
              </w:rPr>
              <w:t>o</w:t>
            </w:r>
            <w:r w:rsidRPr="00CF4C67">
              <w:rPr>
                <w:rFonts w:ascii="Arial" w:hAnsi="Arial" w:cs="Arial"/>
                <w:color w:val="000000"/>
                <w:sz w:val="16"/>
                <w:szCs w:val="16"/>
              </w:rPr>
              <w:t xml:space="preserve"> this can explain if the uncertainty is Missing (</w:t>
            </w:r>
            <w:r w:rsidRPr="00CF4C67">
              <w:rPr>
                <w:rFonts w:ascii="Arial" w:hAnsi="Arial" w:cs="Arial"/>
                <w:b/>
                <w:bCs/>
                <w:color w:val="000000"/>
                <w:sz w:val="16"/>
                <w:szCs w:val="16"/>
              </w:rPr>
              <w:t>MISS</w:t>
            </w:r>
            <w:r w:rsidRPr="00CF4C67">
              <w:rPr>
                <w:rFonts w:ascii="Arial" w:hAnsi="Arial" w:cs="Arial"/>
                <w:color w:val="000000"/>
                <w:sz w:val="16"/>
                <w:szCs w:val="16"/>
              </w:rPr>
              <w:t>), Impossible (</w:t>
            </w:r>
            <w:r w:rsidRPr="00CF4C67">
              <w:rPr>
                <w:rFonts w:ascii="Arial" w:hAnsi="Arial" w:cs="Arial"/>
                <w:b/>
                <w:bCs/>
                <w:color w:val="000000"/>
                <w:sz w:val="16"/>
                <w:szCs w:val="16"/>
              </w:rPr>
              <w:t>IM</w:t>
            </w:r>
            <w:r w:rsidRPr="00CF4C67">
              <w:rPr>
                <w:rFonts w:ascii="Arial" w:hAnsi="Arial" w:cs="Arial"/>
                <w:color w:val="000000"/>
                <w:sz w:val="16"/>
                <w:szCs w:val="16"/>
              </w:rPr>
              <w:t xml:space="preserve">), or no uncertainty in the variable </w:t>
            </w:r>
            <w:proofErr w:type="gramStart"/>
            <w:r w:rsidRPr="00CF4C67">
              <w:rPr>
                <w:rFonts w:ascii="Arial" w:hAnsi="Arial" w:cs="Arial"/>
                <w:color w:val="000000"/>
                <w:sz w:val="16"/>
                <w:szCs w:val="16"/>
              </w:rPr>
              <w:t>i.e.</w:t>
            </w:r>
            <w:proofErr w:type="gramEnd"/>
            <w:r w:rsidRPr="00CF4C67">
              <w:rPr>
                <w:rFonts w:ascii="Arial" w:hAnsi="Arial" w:cs="Arial"/>
                <w:color w:val="000000"/>
                <w:sz w:val="16"/>
                <w:szCs w:val="16"/>
              </w:rPr>
              <w:t xml:space="preserve"> uncertainty is not relevant for this variable (</w:t>
            </w:r>
            <w:r w:rsidRPr="00CF4C67">
              <w:rPr>
                <w:rFonts w:ascii="Arial" w:hAnsi="Arial" w:cs="Arial"/>
                <w:b/>
                <w:bCs/>
                <w:color w:val="000000"/>
                <w:sz w:val="16"/>
                <w:szCs w:val="16"/>
              </w:rPr>
              <w:t>NU</w:t>
            </w:r>
            <w:r w:rsidRPr="00CF4C67">
              <w:rPr>
                <w:rFonts w:ascii="Arial" w:hAnsi="Arial" w:cs="Arial"/>
                <w:color w:val="000000"/>
                <w:sz w:val="16"/>
                <w:szCs w:val="16"/>
              </w:rPr>
              <w:t xml:space="preserve">), </w:t>
            </w:r>
            <w:r w:rsidRPr="00CF4C67">
              <w:rPr>
                <w:rFonts w:ascii="Arial" w:hAnsi="Arial" w:cs="Arial"/>
                <w:b/>
                <w:bCs/>
                <w:color w:val="000000"/>
                <w:sz w:val="16"/>
                <w:szCs w:val="16"/>
              </w:rPr>
              <w:t xml:space="preserve">Not propagated </w:t>
            </w:r>
            <w:r w:rsidRPr="00CF4C67">
              <w:rPr>
                <w:rFonts w:ascii="Arial" w:hAnsi="Arial" w:cs="Arial"/>
                <w:color w:val="000000"/>
                <w:sz w:val="16"/>
                <w:szCs w:val="16"/>
              </w:rPr>
              <w:t>(if mentioned elsewhere but not included in model)</w:t>
            </w:r>
          </w:p>
          <w:p w14:paraId="0E445B48" w14:textId="77777777" w:rsidR="008354E8" w:rsidRPr="00CF4C67" w:rsidRDefault="008354E8" w:rsidP="00C21C70">
            <w:pPr>
              <w:pStyle w:val="NormalWeb"/>
              <w:spacing w:before="0" w:beforeAutospacing="0" w:after="0" w:afterAutospacing="0"/>
              <w:rPr>
                <w:sz w:val="16"/>
                <w:szCs w:val="16"/>
              </w:rPr>
            </w:pPr>
          </w:p>
          <w:p w14:paraId="6F6E9180"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 xml:space="preserve">Can also </w:t>
            </w:r>
            <w:proofErr w:type="gramStart"/>
            <w:r w:rsidRPr="00CF4C67">
              <w:rPr>
                <w:rFonts w:ascii="Arial" w:hAnsi="Arial" w:cs="Arial"/>
                <w:color w:val="000000"/>
                <w:sz w:val="16"/>
                <w:szCs w:val="16"/>
              </w:rPr>
              <w:t>include:</w:t>
            </w:r>
            <w:proofErr w:type="gramEnd"/>
            <w:r w:rsidRPr="00CF4C67">
              <w:rPr>
                <w:rFonts w:ascii="Arial" w:hAnsi="Arial" w:cs="Arial"/>
                <w:color w:val="000000"/>
                <w:sz w:val="16"/>
                <w:szCs w:val="16"/>
              </w:rPr>
              <w:t xml:space="preserve"> </w:t>
            </w:r>
            <w:r w:rsidRPr="00CF4C67">
              <w:rPr>
                <w:rFonts w:ascii="Arial" w:hAnsi="Arial" w:cs="Arial"/>
                <w:b/>
                <w:bCs/>
                <w:color w:val="000000"/>
                <w:sz w:val="16"/>
                <w:szCs w:val="16"/>
              </w:rPr>
              <w:t>NA, I don’t know, can’t tell</w:t>
            </w:r>
            <w:r w:rsidRPr="00CF4C67">
              <w:rPr>
                <w:rFonts w:ascii="Arial" w:hAnsi="Arial" w:cs="Arial"/>
                <w:color w:val="000000"/>
                <w:sz w:val="16"/>
                <w:szCs w:val="16"/>
              </w:rPr>
              <w:t>.</w:t>
            </w:r>
          </w:p>
          <w:p w14:paraId="7FD0CC1D" w14:textId="77777777" w:rsidR="008354E8" w:rsidRPr="00CF4C67" w:rsidRDefault="008354E8" w:rsidP="00C21C70">
            <w:pPr>
              <w:pStyle w:val="NormalWeb"/>
              <w:spacing w:before="0" w:after="0"/>
              <w:rPr>
                <w:sz w:val="16"/>
                <w:szCs w:val="16"/>
              </w:rPr>
            </w:pPr>
            <w:r w:rsidRPr="00CF4C67">
              <w:rPr>
                <w:rFonts w:ascii="Arial" w:hAnsi="Arial" w:cs="Arial"/>
                <w:color w:val="000000"/>
                <w:sz w:val="16"/>
                <w:szCs w:val="16"/>
              </w:rPr>
              <w:t xml:space="preserve">Model selection also does not count unless results compared or combined </w:t>
            </w:r>
            <w:proofErr w:type="gramStart"/>
            <w:r w:rsidRPr="00CF4C67">
              <w:rPr>
                <w:rFonts w:ascii="Arial" w:hAnsi="Arial" w:cs="Arial"/>
                <w:color w:val="000000"/>
                <w:sz w:val="16"/>
                <w:szCs w:val="16"/>
              </w:rPr>
              <w:t>i.e.</w:t>
            </w:r>
            <w:proofErr w:type="gramEnd"/>
            <w:r w:rsidRPr="00CF4C67">
              <w:rPr>
                <w:rFonts w:ascii="Arial" w:hAnsi="Arial" w:cs="Arial"/>
                <w:color w:val="000000"/>
                <w:sz w:val="16"/>
                <w:szCs w:val="16"/>
              </w:rPr>
              <w:t xml:space="preserve"> </w:t>
            </w:r>
            <w:r w:rsidRPr="00CF4C67">
              <w:rPr>
                <w:rFonts w:ascii="Arial" w:hAnsi="Arial" w:cs="Arial"/>
                <w:b/>
                <w:bCs/>
                <w:color w:val="000000"/>
                <w:sz w:val="16"/>
                <w:szCs w:val="16"/>
              </w:rPr>
              <w:t>model averaging</w:t>
            </w:r>
          </w:p>
        </w:tc>
        <w:tc>
          <w:tcPr>
            <w:tcW w:w="1268" w:type="dxa"/>
            <w:vMerge/>
            <w:vAlign w:val="center"/>
            <w:hideMark/>
          </w:tcPr>
          <w:p w14:paraId="0833750A" w14:textId="77777777" w:rsidR="008354E8" w:rsidRPr="00CF4C67" w:rsidRDefault="008354E8" w:rsidP="00C21C70">
            <w:pPr>
              <w:rPr>
                <w:sz w:val="16"/>
                <w:szCs w:val="16"/>
              </w:rPr>
            </w:pPr>
          </w:p>
        </w:tc>
        <w:tc>
          <w:tcPr>
            <w:tcW w:w="1132" w:type="dxa"/>
            <w:vMerge/>
            <w:tcBorders>
              <w:bottom w:val="nil"/>
            </w:tcBorders>
            <w:vAlign w:val="center"/>
            <w:hideMark/>
          </w:tcPr>
          <w:p w14:paraId="391DC7E4" w14:textId="77777777" w:rsidR="008354E8" w:rsidRPr="00CF4C67" w:rsidRDefault="008354E8" w:rsidP="00C21C70">
            <w:pPr>
              <w:rPr>
                <w:sz w:val="16"/>
                <w:szCs w:val="16"/>
              </w:rPr>
            </w:pPr>
          </w:p>
        </w:tc>
        <w:tc>
          <w:tcPr>
            <w:tcW w:w="1266" w:type="dxa"/>
            <w:vMerge/>
            <w:tcMar>
              <w:top w:w="0" w:type="dxa"/>
              <w:left w:w="45" w:type="dxa"/>
              <w:bottom w:w="0" w:type="dxa"/>
              <w:right w:w="45" w:type="dxa"/>
            </w:tcMar>
            <w:vAlign w:val="center"/>
            <w:hideMark/>
          </w:tcPr>
          <w:p w14:paraId="468A45B4" w14:textId="77777777" w:rsidR="008354E8" w:rsidRPr="00CF4C67" w:rsidRDefault="008354E8" w:rsidP="00C21C70">
            <w:pPr>
              <w:pStyle w:val="NormalWeb"/>
              <w:spacing w:before="0" w:after="0"/>
              <w:rPr>
                <w:sz w:val="16"/>
                <w:szCs w:val="16"/>
              </w:rPr>
            </w:pPr>
          </w:p>
        </w:tc>
      </w:tr>
      <w:tr w:rsidR="00F82C75" w:rsidRPr="00CF4C67" w14:paraId="41D80B28" w14:textId="77777777" w:rsidTr="00C21C70">
        <w:trPr>
          <w:trHeight w:val="315"/>
        </w:trPr>
        <w:tc>
          <w:tcPr>
            <w:tcW w:w="0" w:type="auto"/>
            <w:vMerge/>
            <w:vAlign w:val="center"/>
          </w:tcPr>
          <w:p w14:paraId="523E55AD" w14:textId="77777777" w:rsidR="008354E8" w:rsidRPr="00CF4C67" w:rsidRDefault="008354E8" w:rsidP="00C21C70">
            <w:pPr>
              <w:jc w:val="center"/>
              <w:rPr>
                <w:b/>
                <w:bCs/>
                <w:sz w:val="16"/>
                <w:szCs w:val="16"/>
              </w:rPr>
            </w:pPr>
          </w:p>
        </w:tc>
        <w:tc>
          <w:tcPr>
            <w:tcW w:w="1137" w:type="dxa"/>
            <w:vMerge/>
            <w:vAlign w:val="center"/>
            <w:hideMark/>
          </w:tcPr>
          <w:p w14:paraId="3C69B6F9" w14:textId="77777777" w:rsidR="008354E8" w:rsidRPr="00CF4C67" w:rsidRDefault="008354E8" w:rsidP="00C21C70">
            <w:pPr>
              <w:rPr>
                <w:sz w:val="16"/>
                <w:szCs w:val="16"/>
              </w:rPr>
            </w:pPr>
          </w:p>
        </w:tc>
        <w:tc>
          <w:tcPr>
            <w:tcW w:w="1620" w:type="dxa"/>
            <w:vMerge/>
            <w:vAlign w:val="center"/>
            <w:hideMark/>
          </w:tcPr>
          <w:p w14:paraId="3E9D423A" w14:textId="77777777" w:rsidR="008354E8" w:rsidRPr="00CF4C67" w:rsidRDefault="008354E8" w:rsidP="00C21C70">
            <w:pPr>
              <w:rPr>
                <w:sz w:val="16"/>
                <w:szCs w:val="16"/>
              </w:rPr>
            </w:pPr>
          </w:p>
        </w:tc>
        <w:tc>
          <w:tcPr>
            <w:tcW w:w="1787" w:type="dxa"/>
            <w:vMerge/>
            <w:vAlign w:val="center"/>
            <w:hideMark/>
          </w:tcPr>
          <w:p w14:paraId="320287C2" w14:textId="77777777" w:rsidR="008354E8" w:rsidRPr="00CF4C67" w:rsidRDefault="008354E8" w:rsidP="00C21C70">
            <w:pPr>
              <w:rPr>
                <w:sz w:val="16"/>
                <w:szCs w:val="16"/>
              </w:rPr>
            </w:pPr>
          </w:p>
        </w:tc>
        <w:tc>
          <w:tcPr>
            <w:tcW w:w="1721" w:type="dxa"/>
            <w:vMerge/>
            <w:tcMar>
              <w:top w:w="0" w:type="dxa"/>
              <w:left w:w="45" w:type="dxa"/>
              <w:bottom w:w="0" w:type="dxa"/>
              <w:right w:w="45" w:type="dxa"/>
            </w:tcMar>
            <w:vAlign w:val="center"/>
            <w:hideMark/>
          </w:tcPr>
          <w:p w14:paraId="261EEB67" w14:textId="77777777" w:rsidR="008354E8" w:rsidRPr="00CF4C67" w:rsidRDefault="008354E8" w:rsidP="00C21C70">
            <w:pPr>
              <w:pStyle w:val="NormalWeb"/>
              <w:spacing w:before="0" w:beforeAutospacing="0" w:after="0" w:afterAutospacing="0"/>
              <w:rPr>
                <w:sz w:val="16"/>
                <w:szCs w:val="16"/>
              </w:rPr>
            </w:pPr>
          </w:p>
        </w:tc>
        <w:tc>
          <w:tcPr>
            <w:tcW w:w="1268" w:type="dxa"/>
            <w:vMerge/>
            <w:tcMar>
              <w:top w:w="0" w:type="dxa"/>
              <w:left w:w="45" w:type="dxa"/>
              <w:bottom w:w="0" w:type="dxa"/>
              <w:right w:w="45" w:type="dxa"/>
            </w:tcMar>
            <w:vAlign w:val="bottom"/>
            <w:hideMark/>
          </w:tcPr>
          <w:p w14:paraId="0B39A4AA" w14:textId="77777777" w:rsidR="008354E8" w:rsidRPr="00CF4C67" w:rsidRDefault="008354E8" w:rsidP="00C21C70">
            <w:pPr>
              <w:rPr>
                <w:sz w:val="16"/>
                <w:szCs w:val="16"/>
              </w:rPr>
            </w:pPr>
          </w:p>
        </w:tc>
        <w:tc>
          <w:tcPr>
            <w:tcW w:w="1132" w:type="dxa"/>
            <w:tcBorders>
              <w:top w:val="nil"/>
            </w:tcBorders>
            <w:vAlign w:val="center"/>
            <w:hideMark/>
          </w:tcPr>
          <w:p w14:paraId="3D6EC3DB" w14:textId="77777777" w:rsidR="008354E8" w:rsidRPr="00CF4C67" w:rsidRDefault="008354E8" w:rsidP="00C21C70">
            <w:pPr>
              <w:rPr>
                <w:sz w:val="16"/>
                <w:szCs w:val="16"/>
              </w:rPr>
            </w:pPr>
          </w:p>
        </w:tc>
        <w:tc>
          <w:tcPr>
            <w:tcW w:w="1266" w:type="dxa"/>
            <w:vMerge/>
            <w:vAlign w:val="center"/>
            <w:hideMark/>
          </w:tcPr>
          <w:p w14:paraId="5D5C87F1" w14:textId="77777777" w:rsidR="008354E8" w:rsidRPr="00CF4C67" w:rsidRDefault="008354E8" w:rsidP="00C21C70">
            <w:pPr>
              <w:pStyle w:val="NormalWeb"/>
              <w:spacing w:before="0" w:after="0"/>
              <w:rPr>
                <w:sz w:val="16"/>
                <w:szCs w:val="16"/>
              </w:rPr>
            </w:pPr>
          </w:p>
        </w:tc>
      </w:tr>
      <w:tr w:rsidR="00F82C75" w:rsidRPr="00CF4C67" w14:paraId="7E85C1EC" w14:textId="77777777" w:rsidTr="00C21C70">
        <w:trPr>
          <w:trHeight w:val="3685"/>
        </w:trPr>
        <w:tc>
          <w:tcPr>
            <w:tcW w:w="0" w:type="auto"/>
            <w:shd w:val="clear" w:color="auto" w:fill="D9D9D9"/>
            <w:vAlign w:val="center"/>
          </w:tcPr>
          <w:p w14:paraId="1830D8DF" w14:textId="77777777" w:rsidR="008354E8" w:rsidRPr="00CF4C67" w:rsidRDefault="008354E8" w:rsidP="00C21C70">
            <w:pPr>
              <w:pStyle w:val="NormalWeb"/>
              <w:spacing w:before="0" w:beforeAutospacing="0" w:after="0" w:afterAutospacing="0"/>
              <w:jc w:val="center"/>
              <w:rPr>
                <w:rFonts w:ascii="Arial" w:hAnsi="Arial" w:cs="Arial"/>
                <w:b/>
                <w:bCs/>
                <w:color w:val="000000"/>
                <w:sz w:val="16"/>
                <w:szCs w:val="16"/>
                <w:lang w:val="en-GB"/>
              </w:rPr>
            </w:pPr>
            <w:r w:rsidRPr="00CF4C67">
              <w:rPr>
                <w:rFonts w:ascii="Arial" w:hAnsi="Arial" w:cs="Arial"/>
                <w:b/>
                <w:bCs/>
                <w:color w:val="000000"/>
                <w:sz w:val="16"/>
                <w:szCs w:val="16"/>
                <w:lang w:val="en-GB"/>
              </w:rPr>
              <w:t>5</w:t>
            </w:r>
          </w:p>
        </w:tc>
        <w:tc>
          <w:tcPr>
            <w:tcW w:w="1137" w:type="dxa"/>
            <w:shd w:val="clear" w:color="auto" w:fill="D9D9D9"/>
            <w:tcMar>
              <w:top w:w="0" w:type="dxa"/>
              <w:left w:w="45" w:type="dxa"/>
              <w:bottom w:w="0" w:type="dxa"/>
              <w:right w:w="45" w:type="dxa"/>
            </w:tcMar>
            <w:vAlign w:val="center"/>
            <w:hideMark/>
          </w:tcPr>
          <w:p w14:paraId="24FCA699"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Is there an explicit model that maps an unobserved response to observed data? (response)</w:t>
            </w:r>
          </w:p>
        </w:tc>
        <w:tc>
          <w:tcPr>
            <w:tcW w:w="1620" w:type="dxa"/>
            <w:shd w:val="clear" w:color="auto" w:fill="D9D9D9"/>
            <w:tcMar>
              <w:top w:w="0" w:type="dxa"/>
              <w:left w:w="45" w:type="dxa"/>
              <w:bottom w:w="0" w:type="dxa"/>
              <w:right w:w="45" w:type="dxa"/>
            </w:tcMar>
            <w:vAlign w:val="center"/>
            <w:hideMark/>
          </w:tcPr>
          <w:p w14:paraId="0B900F48"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 xml:space="preserve">If the response being modelled is not the same thing the authors had data for then </w:t>
            </w:r>
            <w:proofErr w:type="gramStart"/>
            <w:r w:rsidRPr="00CF4C67">
              <w:rPr>
                <w:rFonts w:ascii="Arial" w:hAnsi="Arial" w:cs="Arial"/>
                <w:color w:val="000000"/>
                <w:sz w:val="16"/>
                <w:szCs w:val="16"/>
              </w:rPr>
              <w:t>do</w:t>
            </w:r>
            <w:proofErr w:type="gramEnd"/>
            <w:r w:rsidRPr="00CF4C67">
              <w:rPr>
                <w:rFonts w:ascii="Arial" w:hAnsi="Arial" w:cs="Arial"/>
                <w:color w:val="000000"/>
                <w:sz w:val="16"/>
                <w:szCs w:val="16"/>
              </w:rPr>
              <w:t xml:space="preserve"> they map the data and desired response to each other with a model? An example of this would be survival analysis. The data is often recapture (whether you saw an individual again or not), but the model tries to explain survival. Therefore, you have a model that includes both recapture and survival probability explicitly - this would give a </w:t>
            </w:r>
            <w:r w:rsidRPr="00CF4C67">
              <w:rPr>
                <w:rFonts w:ascii="Arial" w:hAnsi="Arial" w:cs="Arial"/>
                <w:b/>
                <w:bCs/>
                <w:color w:val="000000"/>
                <w:sz w:val="16"/>
                <w:szCs w:val="16"/>
              </w:rPr>
              <w:t xml:space="preserve">Yes </w:t>
            </w:r>
            <w:r w:rsidRPr="00CF4C67">
              <w:rPr>
                <w:rFonts w:ascii="Arial" w:hAnsi="Arial" w:cs="Arial"/>
                <w:color w:val="000000"/>
                <w:sz w:val="16"/>
                <w:szCs w:val="16"/>
              </w:rPr>
              <w:t>here. </w:t>
            </w:r>
          </w:p>
          <w:p w14:paraId="30A6EC83" w14:textId="77777777" w:rsidR="008354E8" w:rsidRPr="00CF4C67" w:rsidRDefault="008354E8" w:rsidP="00C21C70">
            <w:pPr>
              <w:rPr>
                <w:sz w:val="16"/>
                <w:szCs w:val="16"/>
              </w:rPr>
            </w:pPr>
          </w:p>
          <w:p w14:paraId="0ECC2FA4"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 xml:space="preserve">Might expect many </w:t>
            </w:r>
            <w:r w:rsidRPr="00CF4C67">
              <w:rPr>
                <w:rFonts w:ascii="Arial" w:hAnsi="Arial" w:cs="Arial"/>
                <w:b/>
                <w:bCs/>
                <w:color w:val="000000"/>
                <w:sz w:val="16"/>
                <w:szCs w:val="16"/>
              </w:rPr>
              <w:t xml:space="preserve">No </w:t>
            </w:r>
            <w:r w:rsidRPr="00CF4C67">
              <w:rPr>
                <w:rFonts w:ascii="Arial" w:hAnsi="Arial" w:cs="Arial"/>
                <w:color w:val="000000"/>
                <w:sz w:val="16"/>
                <w:szCs w:val="16"/>
              </w:rPr>
              <w:t>answers. </w:t>
            </w:r>
          </w:p>
        </w:tc>
        <w:tc>
          <w:tcPr>
            <w:tcW w:w="1787" w:type="dxa"/>
            <w:tcMar>
              <w:top w:w="0" w:type="dxa"/>
              <w:left w:w="45" w:type="dxa"/>
              <w:bottom w:w="0" w:type="dxa"/>
              <w:right w:w="45" w:type="dxa"/>
            </w:tcMar>
            <w:vAlign w:val="center"/>
            <w:hideMark/>
          </w:tcPr>
          <w:p w14:paraId="4A4C5615"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b/>
                <w:bCs/>
                <w:color w:val="000000"/>
                <w:sz w:val="16"/>
                <w:szCs w:val="16"/>
              </w:rPr>
              <w:t>Yes/No</w:t>
            </w:r>
          </w:p>
        </w:tc>
        <w:tc>
          <w:tcPr>
            <w:tcW w:w="1721" w:type="dxa"/>
            <w:tcMar>
              <w:top w:w="0" w:type="dxa"/>
              <w:left w:w="45" w:type="dxa"/>
              <w:bottom w:w="0" w:type="dxa"/>
              <w:right w:w="45" w:type="dxa"/>
            </w:tcMar>
            <w:vAlign w:val="center"/>
            <w:hideMark/>
          </w:tcPr>
          <w:p w14:paraId="6D8F439C"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 xml:space="preserve">Give some detail </w:t>
            </w:r>
            <w:proofErr w:type="gramStart"/>
            <w:r w:rsidRPr="00CF4C67">
              <w:rPr>
                <w:rFonts w:ascii="Arial" w:hAnsi="Arial" w:cs="Arial"/>
                <w:color w:val="000000"/>
                <w:sz w:val="16"/>
                <w:szCs w:val="16"/>
              </w:rPr>
              <w:t>e.g.</w:t>
            </w:r>
            <w:proofErr w:type="gramEnd"/>
            <w:r w:rsidRPr="00CF4C67">
              <w:rPr>
                <w:rFonts w:ascii="Arial" w:hAnsi="Arial" w:cs="Arial"/>
                <w:color w:val="000000"/>
                <w:sz w:val="16"/>
                <w:szCs w:val="16"/>
              </w:rPr>
              <w:t xml:space="preserve"> the process that is unobserved like: </w:t>
            </w:r>
            <w:r w:rsidRPr="00CF4C67">
              <w:rPr>
                <w:rFonts w:ascii="Arial" w:hAnsi="Arial" w:cs="Arial"/>
                <w:b/>
                <w:bCs/>
                <w:color w:val="000000"/>
                <w:sz w:val="16"/>
                <w:szCs w:val="16"/>
              </w:rPr>
              <w:t>survival</w:t>
            </w:r>
            <w:r w:rsidRPr="00CF4C67">
              <w:rPr>
                <w:rFonts w:ascii="Arial" w:hAnsi="Arial" w:cs="Arial"/>
                <w:color w:val="000000"/>
                <w:sz w:val="16"/>
                <w:szCs w:val="16"/>
              </w:rPr>
              <w:t>.</w:t>
            </w:r>
          </w:p>
        </w:tc>
        <w:tc>
          <w:tcPr>
            <w:tcW w:w="1268" w:type="dxa"/>
            <w:tcMar>
              <w:top w:w="0" w:type="dxa"/>
              <w:left w:w="45" w:type="dxa"/>
              <w:bottom w:w="0" w:type="dxa"/>
              <w:right w:w="45" w:type="dxa"/>
            </w:tcMar>
            <w:vAlign w:val="center"/>
            <w:hideMark/>
          </w:tcPr>
          <w:p w14:paraId="2C21ABAA"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NA</w:t>
            </w:r>
          </w:p>
        </w:tc>
        <w:tc>
          <w:tcPr>
            <w:tcW w:w="1132" w:type="dxa"/>
            <w:tcMar>
              <w:top w:w="0" w:type="dxa"/>
              <w:left w:w="45" w:type="dxa"/>
              <w:bottom w:w="0" w:type="dxa"/>
              <w:right w:w="45" w:type="dxa"/>
            </w:tcMar>
            <w:vAlign w:val="center"/>
            <w:hideMark/>
          </w:tcPr>
          <w:p w14:paraId="22C35321"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NA</w:t>
            </w:r>
          </w:p>
        </w:tc>
        <w:tc>
          <w:tcPr>
            <w:tcW w:w="1266" w:type="dxa"/>
            <w:vMerge/>
            <w:vAlign w:val="center"/>
            <w:hideMark/>
          </w:tcPr>
          <w:p w14:paraId="3A58DF92" w14:textId="77777777" w:rsidR="008354E8" w:rsidRPr="00CF4C67" w:rsidRDefault="008354E8" w:rsidP="00C21C70">
            <w:pPr>
              <w:pStyle w:val="NormalWeb"/>
              <w:spacing w:before="0" w:after="0"/>
              <w:rPr>
                <w:sz w:val="16"/>
                <w:szCs w:val="16"/>
              </w:rPr>
            </w:pPr>
          </w:p>
        </w:tc>
      </w:tr>
      <w:tr w:rsidR="00F82C75" w:rsidRPr="00CF4C67" w14:paraId="4C4DF479" w14:textId="77777777" w:rsidTr="00C21C70">
        <w:trPr>
          <w:trHeight w:val="1830"/>
        </w:trPr>
        <w:tc>
          <w:tcPr>
            <w:tcW w:w="0" w:type="auto"/>
            <w:shd w:val="clear" w:color="auto" w:fill="D9D9D9"/>
            <w:vAlign w:val="center"/>
          </w:tcPr>
          <w:p w14:paraId="6C6D6B6D" w14:textId="77777777" w:rsidR="008354E8" w:rsidRPr="00CF4C67" w:rsidRDefault="008354E8" w:rsidP="00C21C70">
            <w:pPr>
              <w:pStyle w:val="NormalWeb"/>
              <w:spacing w:before="0" w:beforeAutospacing="0" w:after="0" w:afterAutospacing="0"/>
              <w:jc w:val="center"/>
              <w:rPr>
                <w:rFonts w:ascii="Arial" w:hAnsi="Arial" w:cs="Arial"/>
                <w:b/>
                <w:bCs/>
                <w:color w:val="000000"/>
                <w:sz w:val="16"/>
                <w:szCs w:val="16"/>
                <w:lang w:val="en-GB"/>
              </w:rPr>
            </w:pPr>
            <w:r w:rsidRPr="00CF4C67">
              <w:rPr>
                <w:rFonts w:ascii="Arial" w:hAnsi="Arial" w:cs="Arial"/>
                <w:b/>
                <w:bCs/>
                <w:color w:val="000000"/>
                <w:sz w:val="16"/>
                <w:szCs w:val="16"/>
                <w:lang w:val="en-GB"/>
              </w:rPr>
              <w:t>6</w:t>
            </w:r>
          </w:p>
        </w:tc>
        <w:tc>
          <w:tcPr>
            <w:tcW w:w="1137" w:type="dxa"/>
            <w:shd w:val="clear" w:color="auto" w:fill="D9D9D9"/>
            <w:tcMar>
              <w:top w:w="0" w:type="dxa"/>
              <w:left w:w="45" w:type="dxa"/>
              <w:bottom w:w="0" w:type="dxa"/>
              <w:right w:w="45" w:type="dxa"/>
            </w:tcMar>
            <w:vAlign w:val="center"/>
            <w:hideMark/>
          </w:tcPr>
          <w:p w14:paraId="3CBF15A1"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Is uncertainty in this element included?</w:t>
            </w:r>
          </w:p>
        </w:tc>
        <w:tc>
          <w:tcPr>
            <w:tcW w:w="1620" w:type="dxa"/>
            <w:shd w:val="clear" w:color="auto" w:fill="D9D9D9"/>
            <w:tcMar>
              <w:top w:w="0" w:type="dxa"/>
              <w:left w:w="45" w:type="dxa"/>
              <w:bottom w:w="0" w:type="dxa"/>
              <w:right w:w="45" w:type="dxa"/>
            </w:tcMar>
            <w:vAlign w:val="center"/>
            <w:hideMark/>
          </w:tcPr>
          <w:p w14:paraId="09ADA406" w14:textId="77777777" w:rsidR="008354E8" w:rsidRPr="00CF4C67" w:rsidRDefault="008354E8" w:rsidP="00C21C70">
            <w:pPr>
              <w:pStyle w:val="NormalWeb"/>
              <w:spacing w:before="0" w:beforeAutospacing="0" w:after="0" w:afterAutospacing="0"/>
              <w:rPr>
                <w:rFonts w:ascii="Arial" w:hAnsi="Arial" w:cs="Arial"/>
                <w:sz w:val="16"/>
                <w:szCs w:val="16"/>
              </w:rPr>
            </w:pPr>
            <w:r w:rsidRPr="00CF4C67">
              <w:rPr>
                <w:rFonts w:ascii="Arial" w:hAnsi="Arial" w:cs="Arial"/>
                <w:color w:val="000000"/>
                <w:sz w:val="16"/>
                <w:szCs w:val="16"/>
              </w:rPr>
              <w:t xml:space="preserve">If they model something unobserved, do they explicitly account </w:t>
            </w:r>
            <w:r w:rsidRPr="00CF4C67">
              <w:rPr>
                <w:rFonts w:ascii="Arial" w:hAnsi="Arial" w:cs="Arial"/>
                <w:color w:val="000000"/>
                <w:sz w:val="16"/>
                <w:szCs w:val="16"/>
                <w:lang w:val="en-GB"/>
              </w:rPr>
              <w:t xml:space="preserve">the uncertainty </w:t>
            </w:r>
            <w:r w:rsidRPr="00CF4C67">
              <w:rPr>
                <w:rFonts w:ascii="Arial" w:hAnsi="Arial" w:cs="Arial"/>
                <w:color w:val="000000"/>
                <w:sz w:val="16"/>
                <w:szCs w:val="16"/>
              </w:rPr>
              <w:t>f</w:t>
            </w:r>
            <w:r w:rsidRPr="00CF4C67">
              <w:rPr>
                <w:rFonts w:ascii="Arial" w:hAnsi="Arial" w:cs="Arial"/>
                <w:color w:val="000000"/>
                <w:sz w:val="16"/>
                <w:szCs w:val="16"/>
                <w:lang w:val="en-GB"/>
              </w:rPr>
              <w:t>rom</w:t>
            </w:r>
            <w:r w:rsidRPr="00CF4C67">
              <w:rPr>
                <w:rFonts w:ascii="Arial" w:hAnsi="Arial" w:cs="Arial"/>
                <w:color w:val="000000"/>
                <w:sz w:val="16"/>
                <w:szCs w:val="16"/>
              </w:rPr>
              <w:t xml:space="preserve"> this? And the uncertainty associated. I</w:t>
            </w:r>
            <w:r w:rsidRPr="00CF4C67">
              <w:rPr>
                <w:rFonts w:ascii="Arial" w:hAnsi="Arial" w:cs="Arial"/>
                <w:color w:val="000000"/>
                <w:sz w:val="16"/>
                <w:szCs w:val="16"/>
                <w:lang w:val="en-GB"/>
              </w:rPr>
              <w:t>f</w:t>
            </w:r>
            <w:r w:rsidRPr="00CF4C67">
              <w:rPr>
                <w:rFonts w:ascii="Arial" w:hAnsi="Arial" w:cs="Arial"/>
                <w:color w:val="000000"/>
                <w:sz w:val="16"/>
                <w:szCs w:val="16"/>
              </w:rPr>
              <w:t xml:space="preserve"> the question above was Yes, the answer to this will be the same as Qu1. </w:t>
            </w:r>
          </w:p>
        </w:tc>
        <w:tc>
          <w:tcPr>
            <w:tcW w:w="1787" w:type="dxa"/>
            <w:tcMar>
              <w:top w:w="0" w:type="dxa"/>
              <w:left w:w="45" w:type="dxa"/>
              <w:bottom w:w="0" w:type="dxa"/>
              <w:right w:w="45" w:type="dxa"/>
            </w:tcMar>
            <w:vAlign w:val="center"/>
            <w:hideMark/>
          </w:tcPr>
          <w:p w14:paraId="657A282F" w14:textId="77777777" w:rsidR="008354E8" w:rsidRPr="00CF4C67" w:rsidRDefault="008354E8" w:rsidP="00C21C70">
            <w:pPr>
              <w:pStyle w:val="NormalWeb"/>
              <w:spacing w:before="0" w:beforeAutospacing="0" w:after="0" w:afterAutospacing="0"/>
              <w:rPr>
                <w:rFonts w:ascii="Arial" w:hAnsi="Arial" w:cs="Arial"/>
                <w:b/>
                <w:bCs/>
                <w:color w:val="000000"/>
                <w:sz w:val="16"/>
                <w:szCs w:val="16"/>
              </w:rPr>
            </w:pPr>
            <w:r w:rsidRPr="00CF4C67">
              <w:rPr>
                <w:rFonts w:ascii="Arial" w:hAnsi="Arial" w:cs="Arial"/>
                <w:b/>
                <w:bCs/>
                <w:color w:val="000000"/>
                <w:sz w:val="16"/>
                <w:szCs w:val="16"/>
              </w:rPr>
              <w:t>Yes/No/NA</w:t>
            </w:r>
          </w:p>
          <w:p w14:paraId="1A648126" w14:textId="77777777" w:rsidR="008354E8" w:rsidRPr="00CF4C67" w:rsidRDefault="008354E8" w:rsidP="00C21C70">
            <w:pPr>
              <w:pStyle w:val="NormalWeb"/>
              <w:spacing w:before="0" w:beforeAutospacing="0" w:after="0" w:afterAutospacing="0"/>
              <w:rPr>
                <w:rFonts w:ascii="Arial" w:hAnsi="Arial" w:cs="Arial"/>
                <w:b/>
                <w:bCs/>
                <w:sz w:val="16"/>
                <w:szCs w:val="16"/>
              </w:rPr>
            </w:pPr>
          </w:p>
          <w:p w14:paraId="1CBB3BC4" w14:textId="77777777" w:rsidR="008354E8" w:rsidRPr="00CF4C67" w:rsidRDefault="008354E8" w:rsidP="00C21C70">
            <w:pPr>
              <w:pStyle w:val="NormalWeb"/>
              <w:spacing w:before="0" w:beforeAutospacing="0" w:after="0" w:afterAutospacing="0"/>
              <w:rPr>
                <w:rFonts w:ascii="Arial" w:hAnsi="Arial" w:cs="Arial"/>
                <w:sz w:val="16"/>
                <w:szCs w:val="16"/>
                <w:lang w:val="en-GB"/>
              </w:rPr>
            </w:pPr>
            <w:r w:rsidRPr="00CF4C67">
              <w:rPr>
                <w:rFonts w:ascii="Arial" w:hAnsi="Arial" w:cs="Arial"/>
                <w:sz w:val="16"/>
                <w:szCs w:val="16"/>
                <w:lang w:val="en-GB"/>
              </w:rPr>
              <w:t>If the answer to Qu5 is No, the answer here should always be NA</w:t>
            </w:r>
          </w:p>
        </w:tc>
        <w:tc>
          <w:tcPr>
            <w:tcW w:w="1721" w:type="dxa"/>
            <w:tcMar>
              <w:top w:w="0" w:type="dxa"/>
              <w:left w:w="45" w:type="dxa"/>
              <w:bottom w:w="0" w:type="dxa"/>
              <w:right w:w="45" w:type="dxa"/>
            </w:tcMar>
            <w:vAlign w:val="center"/>
            <w:hideMark/>
          </w:tcPr>
          <w:p w14:paraId="55F08114"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 xml:space="preserve">Details of uncertainty type </w:t>
            </w:r>
            <w:proofErr w:type="gramStart"/>
            <w:r w:rsidRPr="00CF4C67">
              <w:rPr>
                <w:rFonts w:ascii="Arial" w:hAnsi="Arial" w:cs="Arial"/>
                <w:color w:val="000000"/>
                <w:sz w:val="16"/>
                <w:szCs w:val="16"/>
              </w:rPr>
              <w:t>e.g.</w:t>
            </w:r>
            <w:proofErr w:type="gramEnd"/>
            <w:r w:rsidRPr="00CF4C67">
              <w:rPr>
                <w:rFonts w:ascii="Arial" w:hAnsi="Arial" w:cs="Arial"/>
                <w:color w:val="000000"/>
                <w:sz w:val="16"/>
                <w:szCs w:val="16"/>
              </w:rPr>
              <w:t xml:space="preserve"> </w:t>
            </w:r>
            <w:r w:rsidRPr="00CF4C67">
              <w:rPr>
                <w:rFonts w:ascii="Arial" w:hAnsi="Arial" w:cs="Arial"/>
                <w:b/>
                <w:bCs/>
                <w:color w:val="000000"/>
                <w:sz w:val="16"/>
                <w:szCs w:val="16"/>
              </w:rPr>
              <w:t>state</w:t>
            </w:r>
            <w:r w:rsidRPr="00CF4C67">
              <w:rPr>
                <w:rFonts w:ascii="Arial" w:hAnsi="Arial" w:cs="Arial"/>
                <w:color w:val="000000"/>
                <w:sz w:val="16"/>
                <w:szCs w:val="16"/>
              </w:rPr>
              <w:t xml:space="preserve"> = full state model with reported uncertainty in the response, </w:t>
            </w:r>
            <w:r w:rsidRPr="00CF4C67">
              <w:rPr>
                <w:rFonts w:ascii="Arial" w:hAnsi="Arial" w:cs="Arial"/>
                <w:b/>
                <w:bCs/>
                <w:color w:val="000000"/>
                <w:sz w:val="16"/>
                <w:szCs w:val="16"/>
              </w:rPr>
              <w:t>ME</w:t>
            </w:r>
            <w:r w:rsidRPr="00CF4C67">
              <w:rPr>
                <w:rFonts w:ascii="Arial" w:hAnsi="Arial" w:cs="Arial"/>
                <w:b/>
                <w:bCs/>
                <w:color w:val="000000"/>
                <w:sz w:val="16"/>
                <w:szCs w:val="16"/>
                <w:lang w:val="en-GB"/>
              </w:rPr>
              <w:t xml:space="preserve"> </w:t>
            </w:r>
            <w:r w:rsidRPr="00CF4C67">
              <w:rPr>
                <w:rFonts w:ascii="Arial" w:hAnsi="Arial" w:cs="Arial"/>
                <w:color w:val="000000"/>
                <w:sz w:val="16"/>
                <w:szCs w:val="16"/>
              </w:rPr>
              <w:t xml:space="preserve">= measurement error, </w:t>
            </w:r>
            <w:r w:rsidRPr="00CF4C67">
              <w:rPr>
                <w:rFonts w:ascii="Arial" w:hAnsi="Arial" w:cs="Arial"/>
                <w:b/>
                <w:bCs/>
                <w:color w:val="000000"/>
                <w:sz w:val="16"/>
                <w:szCs w:val="16"/>
              </w:rPr>
              <w:t>OE</w:t>
            </w:r>
            <w:r w:rsidRPr="00CF4C67">
              <w:rPr>
                <w:rFonts w:ascii="Arial" w:hAnsi="Arial" w:cs="Arial"/>
                <w:color w:val="000000"/>
                <w:sz w:val="16"/>
                <w:szCs w:val="16"/>
              </w:rPr>
              <w:t xml:space="preserve"> = observation error, </w:t>
            </w:r>
            <w:r w:rsidRPr="00CF4C67">
              <w:rPr>
                <w:rFonts w:ascii="Arial" w:hAnsi="Arial" w:cs="Arial"/>
                <w:b/>
                <w:bCs/>
                <w:color w:val="000000"/>
                <w:sz w:val="16"/>
                <w:szCs w:val="16"/>
              </w:rPr>
              <w:t>other, NA, I don’t know, I can’t tell</w:t>
            </w:r>
            <w:r w:rsidRPr="00CF4C67">
              <w:rPr>
                <w:rFonts w:ascii="Arial" w:hAnsi="Arial" w:cs="Arial"/>
                <w:color w:val="000000"/>
                <w:sz w:val="16"/>
                <w:szCs w:val="16"/>
              </w:rPr>
              <w:t>.</w:t>
            </w:r>
          </w:p>
        </w:tc>
        <w:tc>
          <w:tcPr>
            <w:tcW w:w="1268" w:type="dxa"/>
            <w:tcMar>
              <w:top w:w="0" w:type="dxa"/>
              <w:left w:w="45" w:type="dxa"/>
              <w:bottom w:w="0" w:type="dxa"/>
              <w:right w:w="45" w:type="dxa"/>
            </w:tcMar>
            <w:vAlign w:val="center"/>
            <w:hideMark/>
          </w:tcPr>
          <w:p w14:paraId="0694C2EC" w14:textId="77777777" w:rsidR="008354E8" w:rsidRPr="00CF4C67" w:rsidRDefault="008354E8" w:rsidP="00C21C70">
            <w:pPr>
              <w:pStyle w:val="NormalWeb"/>
              <w:spacing w:before="0" w:beforeAutospacing="0" w:after="0" w:afterAutospacing="0"/>
              <w:rPr>
                <w:rFonts w:ascii="Arial" w:hAnsi="Arial" w:cs="Arial"/>
                <w:b/>
                <w:bCs/>
                <w:color w:val="000000"/>
                <w:sz w:val="16"/>
                <w:szCs w:val="16"/>
              </w:rPr>
            </w:pPr>
            <w:r w:rsidRPr="00CF4C67">
              <w:rPr>
                <w:rFonts w:ascii="Arial" w:hAnsi="Arial" w:cs="Arial"/>
                <w:b/>
                <w:bCs/>
                <w:color w:val="000000"/>
                <w:sz w:val="16"/>
                <w:szCs w:val="16"/>
              </w:rPr>
              <w:t>Main, SI, Data, Citation</w:t>
            </w:r>
          </w:p>
          <w:p w14:paraId="1406855E" w14:textId="77777777" w:rsidR="008354E8" w:rsidRPr="00CF4C67" w:rsidRDefault="008354E8" w:rsidP="00C21C70">
            <w:pPr>
              <w:pStyle w:val="NormalWeb"/>
              <w:spacing w:before="0" w:beforeAutospacing="0" w:after="0" w:afterAutospacing="0"/>
              <w:rPr>
                <w:b/>
                <w:bCs/>
                <w:color w:val="000000"/>
                <w:sz w:val="16"/>
                <w:szCs w:val="16"/>
              </w:rPr>
            </w:pPr>
          </w:p>
          <w:p w14:paraId="59373260" w14:textId="77777777" w:rsidR="008354E8" w:rsidRPr="00CF4C67" w:rsidRDefault="008354E8" w:rsidP="00C21C70">
            <w:pPr>
              <w:pStyle w:val="NormalWeb"/>
              <w:spacing w:before="0" w:beforeAutospacing="0" w:after="0" w:afterAutospacing="0"/>
              <w:rPr>
                <w:sz w:val="16"/>
                <w:szCs w:val="16"/>
              </w:rPr>
            </w:pPr>
            <w:r w:rsidRPr="00CF4C67">
              <w:rPr>
                <w:color w:val="000000"/>
                <w:sz w:val="16"/>
                <w:szCs w:val="16"/>
                <w:lang w:val="en-GB"/>
              </w:rPr>
              <w:t>(</w:t>
            </w:r>
            <w:proofErr w:type="gramStart"/>
            <w:r w:rsidRPr="00CF4C67">
              <w:rPr>
                <w:color w:val="000000"/>
                <w:sz w:val="16"/>
                <w:szCs w:val="16"/>
                <w:lang w:val="en-GB"/>
              </w:rPr>
              <w:t>same</w:t>
            </w:r>
            <w:proofErr w:type="gramEnd"/>
            <w:r w:rsidRPr="00CF4C67">
              <w:rPr>
                <w:color w:val="000000"/>
                <w:sz w:val="16"/>
                <w:szCs w:val="16"/>
                <w:lang w:val="en-GB"/>
              </w:rPr>
              <w:t xml:space="preserve"> as response instructions)</w:t>
            </w:r>
          </w:p>
        </w:tc>
        <w:tc>
          <w:tcPr>
            <w:tcW w:w="1132" w:type="dxa"/>
            <w:tcMar>
              <w:top w:w="0" w:type="dxa"/>
              <w:left w:w="45" w:type="dxa"/>
              <w:bottom w:w="0" w:type="dxa"/>
              <w:right w:w="45" w:type="dxa"/>
            </w:tcMar>
            <w:vAlign w:val="center"/>
            <w:hideMark/>
          </w:tcPr>
          <w:p w14:paraId="359474CD" w14:textId="77777777" w:rsidR="008354E8" w:rsidRPr="00CF4C67" w:rsidRDefault="008354E8" w:rsidP="00C21C70">
            <w:pPr>
              <w:pStyle w:val="NormalWeb"/>
              <w:spacing w:before="0" w:beforeAutospacing="0" w:after="0" w:afterAutospacing="0"/>
              <w:rPr>
                <w:rFonts w:ascii="Arial" w:hAnsi="Arial" w:cs="Arial"/>
                <w:b/>
                <w:bCs/>
                <w:color w:val="000000"/>
                <w:sz w:val="16"/>
                <w:szCs w:val="16"/>
              </w:rPr>
            </w:pPr>
            <w:r w:rsidRPr="00CF4C67">
              <w:rPr>
                <w:rFonts w:ascii="Arial" w:hAnsi="Arial" w:cs="Arial"/>
                <w:b/>
                <w:bCs/>
                <w:color w:val="000000"/>
                <w:sz w:val="16"/>
                <w:szCs w:val="16"/>
              </w:rPr>
              <w:t>visual, text, numeric</w:t>
            </w:r>
          </w:p>
          <w:p w14:paraId="1B51B3D7" w14:textId="77777777" w:rsidR="008354E8" w:rsidRPr="00CF4C67" w:rsidRDefault="008354E8" w:rsidP="00C21C70">
            <w:pPr>
              <w:pStyle w:val="NormalWeb"/>
              <w:spacing w:before="0" w:beforeAutospacing="0" w:after="0" w:afterAutospacing="0"/>
              <w:rPr>
                <w:rFonts w:ascii="Arial" w:hAnsi="Arial" w:cs="Arial"/>
                <w:sz w:val="16"/>
                <w:szCs w:val="16"/>
              </w:rPr>
            </w:pPr>
          </w:p>
          <w:p w14:paraId="286D1101" w14:textId="77777777" w:rsidR="008354E8" w:rsidRPr="00CF4C67" w:rsidRDefault="008354E8" w:rsidP="00C21C70">
            <w:pPr>
              <w:pStyle w:val="NormalWeb"/>
              <w:spacing w:before="0" w:beforeAutospacing="0" w:after="0" w:afterAutospacing="0"/>
              <w:rPr>
                <w:sz w:val="16"/>
                <w:szCs w:val="16"/>
              </w:rPr>
            </w:pPr>
            <w:r w:rsidRPr="00CF4C67">
              <w:rPr>
                <w:color w:val="000000"/>
                <w:sz w:val="16"/>
                <w:szCs w:val="16"/>
                <w:lang w:val="en-GB"/>
              </w:rPr>
              <w:t>(</w:t>
            </w:r>
            <w:proofErr w:type="gramStart"/>
            <w:r w:rsidRPr="00CF4C67">
              <w:rPr>
                <w:color w:val="000000"/>
                <w:sz w:val="16"/>
                <w:szCs w:val="16"/>
                <w:lang w:val="en-GB"/>
              </w:rPr>
              <w:t>same</w:t>
            </w:r>
            <w:proofErr w:type="gramEnd"/>
            <w:r w:rsidRPr="00CF4C67">
              <w:rPr>
                <w:color w:val="000000"/>
                <w:sz w:val="16"/>
                <w:szCs w:val="16"/>
                <w:lang w:val="en-GB"/>
              </w:rPr>
              <w:t xml:space="preserve"> as response instructions)</w:t>
            </w:r>
          </w:p>
        </w:tc>
        <w:tc>
          <w:tcPr>
            <w:tcW w:w="1266" w:type="dxa"/>
            <w:vMerge/>
            <w:tcMar>
              <w:top w:w="0" w:type="dxa"/>
              <w:left w:w="45" w:type="dxa"/>
              <w:bottom w:w="0" w:type="dxa"/>
              <w:right w:w="45" w:type="dxa"/>
            </w:tcMar>
            <w:vAlign w:val="bottom"/>
            <w:hideMark/>
          </w:tcPr>
          <w:p w14:paraId="7B321B4B" w14:textId="77777777" w:rsidR="008354E8" w:rsidRPr="00CF4C67" w:rsidRDefault="008354E8" w:rsidP="00C21C70">
            <w:pPr>
              <w:pStyle w:val="NormalWeb"/>
              <w:spacing w:before="0" w:after="0"/>
              <w:rPr>
                <w:sz w:val="16"/>
                <w:szCs w:val="16"/>
              </w:rPr>
            </w:pPr>
          </w:p>
        </w:tc>
      </w:tr>
      <w:tr w:rsidR="00F82C75" w:rsidRPr="00CF4C67" w14:paraId="0ADF76DF" w14:textId="77777777" w:rsidTr="00C21C70">
        <w:trPr>
          <w:trHeight w:val="315"/>
        </w:trPr>
        <w:tc>
          <w:tcPr>
            <w:tcW w:w="0" w:type="auto"/>
            <w:shd w:val="clear" w:color="auto" w:fill="D9D9D9"/>
            <w:vAlign w:val="center"/>
          </w:tcPr>
          <w:p w14:paraId="65A892E8" w14:textId="77777777" w:rsidR="008354E8" w:rsidRPr="00CF4C67" w:rsidRDefault="008354E8" w:rsidP="00C21C70">
            <w:pPr>
              <w:pStyle w:val="NormalWeb"/>
              <w:spacing w:before="0" w:beforeAutospacing="0" w:after="0" w:afterAutospacing="0"/>
              <w:jc w:val="center"/>
              <w:rPr>
                <w:rFonts w:ascii="Arial" w:hAnsi="Arial" w:cs="Arial"/>
                <w:b/>
                <w:bCs/>
                <w:color w:val="000000"/>
                <w:sz w:val="16"/>
                <w:szCs w:val="16"/>
                <w:lang w:val="en-GB"/>
              </w:rPr>
            </w:pPr>
            <w:r w:rsidRPr="00CF4C67">
              <w:rPr>
                <w:rFonts w:ascii="Arial" w:hAnsi="Arial" w:cs="Arial"/>
                <w:b/>
                <w:bCs/>
                <w:color w:val="000000"/>
                <w:sz w:val="16"/>
                <w:szCs w:val="16"/>
                <w:lang w:val="en-GB"/>
              </w:rPr>
              <w:t>7</w:t>
            </w:r>
          </w:p>
        </w:tc>
        <w:tc>
          <w:tcPr>
            <w:tcW w:w="1137" w:type="dxa"/>
            <w:shd w:val="clear" w:color="auto" w:fill="D9D9D9"/>
            <w:tcMar>
              <w:top w:w="0" w:type="dxa"/>
              <w:left w:w="45" w:type="dxa"/>
              <w:bottom w:w="0" w:type="dxa"/>
              <w:right w:w="45" w:type="dxa"/>
            </w:tcMar>
            <w:vAlign w:val="center"/>
            <w:hideMark/>
          </w:tcPr>
          <w:p w14:paraId="0F18BD07"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Do they predict?</w:t>
            </w:r>
          </w:p>
        </w:tc>
        <w:tc>
          <w:tcPr>
            <w:tcW w:w="1620" w:type="dxa"/>
            <w:shd w:val="clear" w:color="auto" w:fill="D9D9D9"/>
            <w:tcMar>
              <w:top w:w="0" w:type="dxa"/>
              <w:left w:w="45" w:type="dxa"/>
              <w:bottom w:w="0" w:type="dxa"/>
              <w:right w:w="45" w:type="dxa"/>
            </w:tcMar>
            <w:vAlign w:val="center"/>
            <w:hideMark/>
          </w:tcPr>
          <w:p w14:paraId="43187ADA"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 xml:space="preserve">Are any predictions made during the final analysis or from the </w:t>
            </w:r>
            <w:r w:rsidRPr="00CF4C67">
              <w:rPr>
                <w:rFonts w:ascii="Arial" w:hAnsi="Arial" w:cs="Arial"/>
                <w:color w:val="000000"/>
                <w:sz w:val="16"/>
                <w:szCs w:val="16"/>
              </w:rPr>
              <w:lastRenderedPageBreak/>
              <w:t xml:space="preserve">model in the final analysis? Predictions are defined as estimating/calculating values of the response outside of the data used in the </w:t>
            </w:r>
            <w:proofErr w:type="spellStart"/>
            <w:proofErr w:type="gramStart"/>
            <w:r w:rsidRPr="00CF4C67">
              <w:rPr>
                <w:rFonts w:ascii="Arial" w:hAnsi="Arial" w:cs="Arial"/>
                <w:color w:val="000000"/>
                <w:sz w:val="16"/>
                <w:szCs w:val="16"/>
              </w:rPr>
              <w:t>model.Temporal</w:t>
            </w:r>
            <w:proofErr w:type="spellEnd"/>
            <w:proofErr w:type="gramEnd"/>
            <w:r w:rsidRPr="00CF4C67">
              <w:rPr>
                <w:rFonts w:ascii="Arial" w:hAnsi="Arial" w:cs="Arial"/>
                <w:color w:val="000000"/>
                <w:sz w:val="16"/>
                <w:szCs w:val="16"/>
              </w:rPr>
              <w:t xml:space="preserve"> element of past or future is not important here. Projections would count</w:t>
            </w:r>
            <w:r w:rsidRPr="00CF4C67">
              <w:rPr>
                <w:rFonts w:ascii="Arial" w:hAnsi="Arial" w:cs="Arial"/>
                <w:color w:val="000000"/>
                <w:sz w:val="16"/>
                <w:szCs w:val="16"/>
                <w:lang w:val="en-GB"/>
              </w:rPr>
              <w:t xml:space="preserve"> </w:t>
            </w:r>
            <w:r w:rsidRPr="00CF4C67">
              <w:rPr>
                <w:rFonts w:ascii="Arial" w:hAnsi="Arial" w:cs="Arial"/>
                <w:b/>
                <w:bCs/>
                <w:color w:val="000000"/>
                <w:sz w:val="16"/>
                <w:szCs w:val="16"/>
                <w:lang w:val="en-GB"/>
              </w:rPr>
              <w:t>if</w:t>
            </w:r>
            <w:r w:rsidRPr="00CF4C67">
              <w:rPr>
                <w:rFonts w:ascii="Arial" w:hAnsi="Arial" w:cs="Arial"/>
                <w:color w:val="000000"/>
                <w:sz w:val="16"/>
                <w:szCs w:val="16"/>
              </w:rPr>
              <w:t xml:space="preserve"> generated by the focal model in the focal paper.</w:t>
            </w:r>
          </w:p>
        </w:tc>
        <w:tc>
          <w:tcPr>
            <w:tcW w:w="1787" w:type="dxa"/>
            <w:tcMar>
              <w:top w:w="0" w:type="dxa"/>
              <w:left w:w="45" w:type="dxa"/>
              <w:bottom w:w="0" w:type="dxa"/>
              <w:right w:w="45" w:type="dxa"/>
            </w:tcMar>
            <w:vAlign w:val="center"/>
            <w:hideMark/>
          </w:tcPr>
          <w:p w14:paraId="1D2DD7B6"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b/>
                <w:bCs/>
                <w:color w:val="000000"/>
                <w:sz w:val="16"/>
                <w:szCs w:val="16"/>
              </w:rPr>
              <w:lastRenderedPageBreak/>
              <w:t>Yes/No</w:t>
            </w:r>
          </w:p>
        </w:tc>
        <w:tc>
          <w:tcPr>
            <w:tcW w:w="1721" w:type="dxa"/>
            <w:tcMar>
              <w:top w:w="0" w:type="dxa"/>
              <w:left w:w="45" w:type="dxa"/>
              <w:bottom w:w="0" w:type="dxa"/>
              <w:right w:w="45" w:type="dxa"/>
            </w:tcMar>
            <w:vAlign w:val="center"/>
            <w:hideMark/>
          </w:tcPr>
          <w:p w14:paraId="02B924C8" w14:textId="77777777" w:rsidR="008354E8" w:rsidRPr="00CF4C67" w:rsidRDefault="008354E8" w:rsidP="00C21C70">
            <w:pPr>
              <w:rPr>
                <w:sz w:val="16"/>
                <w:szCs w:val="16"/>
              </w:rPr>
            </w:pPr>
          </w:p>
        </w:tc>
        <w:tc>
          <w:tcPr>
            <w:tcW w:w="1268" w:type="dxa"/>
            <w:tcMar>
              <w:top w:w="0" w:type="dxa"/>
              <w:left w:w="45" w:type="dxa"/>
              <w:bottom w:w="0" w:type="dxa"/>
              <w:right w:w="45" w:type="dxa"/>
            </w:tcMar>
            <w:vAlign w:val="center"/>
            <w:hideMark/>
          </w:tcPr>
          <w:p w14:paraId="13C4C0F6"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NA</w:t>
            </w:r>
          </w:p>
        </w:tc>
        <w:tc>
          <w:tcPr>
            <w:tcW w:w="1132" w:type="dxa"/>
            <w:tcMar>
              <w:top w:w="0" w:type="dxa"/>
              <w:left w:w="45" w:type="dxa"/>
              <w:bottom w:w="0" w:type="dxa"/>
              <w:right w:w="45" w:type="dxa"/>
            </w:tcMar>
            <w:vAlign w:val="center"/>
            <w:hideMark/>
          </w:tcPr>
          <w:p w14:paraId="7E2B489A"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NA</w:t>
            </w:r>
          </w:p>
        </w:tc>
        <w:tc>
          <w:tcPr>
            <w:tcW w:w="1266" w:type="dxa"/>
            <w:vMerge/>
            <w:tcMar>
              <w:top w:w="0" w:type="dxa"/>
              <w:left w:w="45" w:type="dxa"/>
              <w:bottom w:w="0" w:type="dxa"/>
              <w:right w:w="45" w:type="dxa"/>
            </w:tcMar>
            <w:vAlign w:val="bottom"/>
            <w:hideMark/>
          </w:tcPr>
          <w:p w14:paraId="5D8D255E" w14:textId="77777777" w:rsidR="008354E8" w:rsidRPr="00CF4C67" w:rsidRDefault="008354E8" w:rsidP="00C21C70">
            <w:pPr>
              <w:pStyle w:val="NormalWeb"/>
              <w:spacing w:before="0" w:after="0"/>
              <w:rPr>
                <w:sz w:val="16"/>
                <w:szCs w:val="16"/>
              </w:rPr>
            </w:pPr>
          </w:p>
        </w:tc>
      </w:tr>
      <w:tr w:rsidR="00F82C75" w:rsidRPr="00CF4C67" w14:paraId="4BA7338D" w14:textId="77777777" w:rsidTr="00C21C70">
        <w:trPr>
          <w:trHeight w:val="3108"/>
        </w:trPr>
        <w:tc>
          <w:tcPr>
            <w:tcW w:w="0" w:type="auto"/>
            <w:shd w:val="clear" w:color="auto" w:fill="D9D9D9"/>
            <w:vAlign w:val="center"/>
          </w:tcPr>
          <w:p w14:paraId="39DFF5D2" w14:textId="77777777" w:rsidR="008354E8" w:rsidRPr="00CF4C67" w:rsidRDefault="008354E8" w:rsidP="00C21C70">
            <w:pPr>
              <w:pStyle w:val="NormalWeb"/>
              <w:spacing w:before="0" w:beforeAutospacing="0" w:after="0" w:afterAutospacing="0"/>
              <w:jc w:val="center"/>
              <w:rPr>
                <w:rFonts w:ascii="Arial" w:hAnsi="Arial" w:cs="Arial"/>
                <w:b/>
                <w:bCs/>
                <w:color w:val="000000"/>
                <w:sz w:val="16"/>
                <w:szCs w:val="16"/>
                <w:lang w:val="en-GB"/>
              </w:rPr>
            </w:pPr>
            <w:r w:rsidRPr="00CF4C67">
              <w:rPr>
                <w:rFonts w:ascii="Arial" w:hAnsi="Arial" w:cs="Arial"/>
                <w:b/>
                <w:bCs/>
                <w:color w:val="000000"/>
                <w:sz w:val="16"/>
                <w:szCs w:val="16"/>
                <w:lang w:val="en-GB"/>
              </w:rPr>
              <w:t>8</w:t>
            </w:r>
          </w:p>
        </w:tc>
        <w:tc>
          <w:tcPr>
            <w:tcW w:w="1137" w:type="dxa"/>
            <w:shd w:val="clear" w:color="auto" w:fill="D9D9D9"/>
            <w:tcMar>
              <w:top w:w="0" w:type="dxa"/>
              <w:left w:w="45" w:type="dxa"/>
              <w:bottom w:w="0" w:type="dxa"/>
              <w:right w:w="45" w:type="dxa"/>
            </w:tcMar>
            <w:vAlign w:val="center"/>
            <w:hideMark/>
          </w:tcPr>
          <w:p w14:paraId="5FE64497"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Is uncertainty in the prediction included?</w:t>
            </w:r>
          </w:p>
        </w:tc>
        <w:tc>
          <w:tcPr>
            <w:tcW w:w="1620" w:type="dxa"/>
            <w:shd w:val="clear" w:color="auto" w:fill="D9D9D9"/>
            <w:tcMar>
              <w:top w:w="0" w:type="dxa"/>
              <w:left w:w="45" w:type="dxa"/>
              <w:bottom w:w="0" w:type="dxa"/>
              <w:right w:w="45" w:type="dxa"/>
            </w:tcMar>
            <w:vAlign w:val="center"/>
            <w:hideMark/>
          </w:tcPr>
          <w:p w14:paraId="1FE243C0" w14:textId="77777777" w:rsidR="008354E8" w:rsidRPr="00CF4C67" w:rsidRDefault="008354E8" w:rsidP="00C21C70">
            <w:pPr>
              <w:pStyle w:val="NormalWeb"/>
              <w:spacing w:before="0" w:beforeAutospacing="0" w:after="0" w:afterAutospacing="0"/>
              <w:rPr>
                <w:sz w:val="16"/>
                <w:szCs w:val="16"/>
                <w:lang w:val="en-GB"/>
              </w:rPr>
            </w:pPr>
            <w:r w:rsidRPr="00CF4C67">
              <w:rPr>
                <w:rFonts w:ascii="Arial" w:hAnsi="Arial" w:cs="Arial"/>
                <w:color w:val="000000"/>
                <w:sz w:val="16"/>
                <w:szCs w:val="16"/>
              </w:rPr>
              <w:t xml:space="preserve">Only answer </w:t>
            </w:r>
            <w:r w:rsidRPr="00CF4C67">
              <w:rPr>
                <w:rFonts w:ascii="Arial" w:hAnsi="Arial" w:cs="Arial"/>
                <w:color w:val="000000"/>
                <w:sz w:val="16"/>
                <w:szCs w:val="16"/>
                <w:lang w:val="en-GB"/>
              </w:rPr>
              <w:t>if</w:t>
            </w:r>
            <w:r w:rsidRPr="00CF4C67">
              <w:rPr>
                <w:rFonts w:ascii="Arial" w:hAnsi="Arial" w:cs="Arial"/>
                <w:color w:val="000000"/>
                <w:sz w:val="16"/>
                <w:szCs w:val="16"/>
              </w:rPr>
              <w:t xml:space="preserve"> question above = Y</w:t>
            </w:r>
            <w:r w:rsidRPr="00CF4C67">
              <w:rPr>
                <w:rFonts w:ascii="Arial" w:hAnsi="Arial" w:cs="Arial"/>
                <w:color w:val="000000"/>
                <w:sz w:val="16"/>
                <w:szCs w:val="16"/>
                <w:lang w:val="en-GB"/>
              </w:rPr>
              <w:t>es</w:t>
            </w:r>
          </w:p>
        </w:tc>
        <w:tc>
          <w:tcPr>
            <w:tcW w:w="1787" w:type="dxa"/>
            <w:tcMar>
              <w:top w:w="0" w:type="dxa"/>
              <w:left w:w="45" w:type="dxa"/>
              <w:bottom w:w="0" w:type="dxa"/>
              <w:right w:w="45" w:type="dxa"/>
            </w:tcMar>
            <w:vAlign w:val="center"/>
            <w:hideMark/>
          </w:tcPr>
          <w:p w14:paraId="464DEFFF" w14:textId="77777777" w:rsidR="008354E8" w:rsidRPr="00CF4C67" w:rsidRDefault="008354E8" w:rsidP="00C21C70">
            <w:pPr>
              <w:pStyle w:val="NormalWeb"/>
              <w:spacing w:before="0" w:beforeAutospacing="0" w:after="0" w:afterAutospacing="0"/>
              <w:rPr>
                <w:rFonts w:ascii="Arial" w:hAnsi="Arial" w:cs="Arial"/>
                <w:b/>
                <w:bCs/>
                <w:color w:val="000000"/>
                <w:sz w:val="16"/>
                <w:szCs w:val="16"/>
              </w:rPr>
            </w:pPr>
            <w:r w:rsidRPr="00CF4C67">
              <w:rPr>
                <w:rFonts w:ascii="Arial" w:hAnsi="Arial" w:cs="Arial"/>
                <w:b/>
                <w:bCs/>
                <w:color w:val="000000"/>
                <w:sz w:val="16"/>
                <w:szCs w:val="16"/>
              </w:rPr>
              <w:t>Yes/No/NA</w:t>
            </w:r>
          </w:p>
          <w:p w14:paraId="36FCDBE9" w14:textId="77777777" w:rsidR="008354E8" w:rsidRPr="00CF4C67" w:rsidRDefault="008354E8" w:rsidP="00C21C70">
            <w:pPr>
              <w:pStyle w:val="NormalWeb"/>
              <w:spacing w:before="0" w:beforeAutospacing="0" w:after="0" w:afterAutospacing="0"/>
              <w:rPr>
                <w:b/>
                <w:bCs/>
                <w:sz w:val="16"/>
                <w:szCs w:val="16"/>
              </w:rPr>
            </w:pPr>
          </w:p>
          <w:p w14:paraId="1D8D3E0E"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sz w:val="16"/>
                <w:szCs w:val="16"/>
                <w:lang w:val="en-GB"/>
              </w:rPr>
              <w:t>If the answer to Qu7 is No, the answer here should always be NA</w:t>
            </w:r>
          </w:p>
        </w:tc>
        <w:tc>
          <w:tcPr>
            <w:tcW w:w="1721" w:type="dxa"/>
            <w:tcMar>
              <w:top w:w="0" w:type="dxa"/>
              <w:left w:w="45" w:type="dxa"/>
              <w:bottom w:w="0" w:type="dxa"/>
              <w:right w:w="45" w:type="dxa"/>
            </w:tcMar>
            <w:vAlign w:val="center"/>
            <w:hideMark/>
          </w:tcPr>
          <w:p w14:paraId="4E9272B5" w14:textId="77777777" w:rsidR="008354E8" w:rsidRPr="00CF4C67" w:rsidRDefault="008354E8" w:rsidP="00C21C70">
            <w:pPr>
              <w:pStyle w:val="NormalWeb"/>
              <w:spacing w:before="0" w:beforeAutospacing="0" w:after="0" w:afterAutospacing="0"/>
              <w:rPr>
                <w:rFonts w:ascii="Arial" w:hAnsi="Arial" w:cs="Arial"/>
                <w:color w:val="000000"/>
                <w:sz w:val="16"/>
                <w:szCs w:val="16"/>
              </w:rPr>
            </w:pPr>
            <w:r w:rsidRPr="00CF4C67">
              <w:rPr>
                <w:rFonts w:ascii="Arial" w:hAnsi="Arial" w:cs="Arial"/>
                <w:color w:val="000000"/>
                <w:sz w:val="16"/>
                <w:szCs w:val="16"/>
              </w:rPr>
              <w:t xml:space="preserve">Type of uncertainty </w:t>
            </w:r>
            <w:proofErr w:type="gramStart"/>
            <w:r w:rsidRPr="00CF4C67">
              <w:rPr>
                <w:rFonts w:ascii="Arial" w:hAnsi="Arial" w:cs="Arial"/>
                <w:color w:val="000000"/>
                <w:sz w:val="16"/>
                <w:szCs w:val="16"/>
              </w:rPr>
              <w:t>e.g.</w:t>
            </w:r>
            <w:proofErr w:type="gramEnd"/>
            <w:r w:rsidRPr="00CF4C67">
              <w:rPr>
                <w:rFonts w:ascii="Arial" w:hAnsi="Arial" w:cs="Arial"/>
                <w:color w:val="000000"/>
                <w:sz w:val="16"/>
                <w:szCs w:val="16"/>
              </w:rPr>
              <w:t xml:space="preserve"> prediction interval (</w:t>
            </w:r>
            <w:r w:rsidRPr="00CF4C67">
              <w:rPr>
                <w:rFonts w:ascii="Arial" w:hAnsi="Arial" w:cs="Arial"/>
                <w:b/>
                <w:bCs/>
                <w:color w:val="000000"/>
                <w:sz w:val="16"/>
                <w:szCs w:val="16"/>
              </w:rPr>
              <w:t>PI</w:t>
            </w:r>
            <w:r w:rsidRPr="00CF4C67">
              <w:rPr>
                <w:rFonts w:ascii="Arial" w:hAnsi="Arial" w:cs="Arial"/>
                <w:color w:val="000000"/>
                <w:sz w:val="16"/>
                <w:szCs w:val="16"/>
              </w:rPr>
              <w:t xml:space="preserve">), </w:t>
            </w:r>
            <w:r w:rsidRPr="00CF4C67">
              <w:rPr>
                <w:rFonts w:ascii="Arial" w:hAnsi="Arial" w:cs="Arial"/>
                <w:b/>
                <w:bCs/>
                <w:color w:val="000000"/>
                <w:sz w:val="16"/>
                <w:szCs w:val="16"/>
              </w:rPr>
              <w:t>SE</w:t>
            </w:r>
            <w:r w:rsidRPr="00CF4C67">
              <w:rPr>
                <w:rFonts w:ascii="Arial" w:hAnsi="Arial" w:cs="Arial"/>
                <w:color w:val="000000"/>
                <w:sz w:val="16"/>
                <w:szCs w:val="16"/>
              </w:rPr>
              <w:t xml:space="preserve">, </w:t>
            </w:r>
            <w:r w:rsidRPr="00CF4C67">
              <w:rPr>
                <w:rFonts w:ascii="Arial" w:hAnsi="Arial" w:cs="Arial"/>
                <w:b/>
                <w:bCs/>
                <w:color w:val="000000"/>
                <w:sz w:val="16"/>
                <w:szCs w:val="16"/>
              </w:rPr>
              <w:t>CI</w:t>
            </w:r>
            <w:r w:rsidRPr="00CF4C67">
              <w:rPr>
                <w:rFonts w:ascii="Arial" w:hAnsi="Arial" w:cs="Arial"/>
                <w:color w:val="000000"/>
                <w:sz w:val="16"/>
                <w:szCs w:val="16"/>
              </w:rPr>
              <w:t xml:space="preserve">, </w:t>
            </w:r>
            <w:r w:rsidRPr="00CF4C67">
              <w:rPr>
                <w:rFonts w:ascii="Arial" w:hAnsi="Arial" w:cs="Arial"/>
                <w:b/>
                <w:bCs/>
                <w:color w:val="000000"/>
                <w:sz w:val="16"/>
                <w:szCs w:val="16"/>
              </w:rPr>
              <w:t>Range</w:t>
            </w:r>
            <w:r w:rsidRPr="00CF4C67">
              <w:rPr>
                <w:rFonts w:ascii="Arial" w:hAnsi="Arial" w:cs="Arial"/>
                <w:color w:val="000000"/>
                <w:sz w:val="16"/>
                <w:szCs w:val="16"/>
              </w:rPr>
              <w:t xml:space="preserve"> = range of scenarios,</w:t>
            </w:r>
          </w:p>
          <w:p w14:paraId="63475880" w14:textId="77777777" w:rsidR="008354E8" w:rsidRPr="00CF4C67" w:rsidRDefault="008354E8" w:rsidP="00C21C70">
            <w:pPr>
              <w:pStyle w:val="NormalWeb"/>
              <w:spacing w:before="0" w:beforeAutospacing="0" w:after="0" w:afterAutospacing="0"/>
              <w:rPr>
                <w:sz w:val="16"/>
                <w:szCs w:val="16"/>
              </w:rPr>
            </w:pPr>
          </w:p>
          <w:p w14:paraId="431B2308"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I</w:t>
            </w:r>
            <w:r w:rsidRPr="00CF4C67">
              <w:rPr>
                <w:rFonts w:ascii="Arial" w:hAnsi="Arial" w:cs="Arial"/>
                <w:color w:val="000000"/>
                <w:sz w:val="16"/>
                <w:szCs w:val="16"/>
                <w:lang w:val="en-GB"/>
              </w:rPr>
              <w:t>f</w:t>
            </w:r>
            <w:r w:rsidRPr="00CF4C67">
              <w:rPr>
                <w:rFonts w:ascii="Arial" w:hAnsi="Arial" w:cs="Arial"/>
                <w:color w:val="000000"/>
                <w:sz w:val="16"/>
                <w:szCs w:val="16"/>
              </w:rPr>
              <w:t xml:space="preserve"> </w:t>
            </w:r>
            <w:r w:rsidRPr="00CF4C67">
              <w:rPr>
                <w:rFonts w:ascii="Arial" w:hAnsi="Arial" w:cs="Arial"/>
                <w:b/>
                <w:bCs/>
                <w:color w:val="000000"/>
                <w:sz w:val="16"/>
                <w:szCs w:val="16"/>
              </w:rPr>
              <w:t>ANSWER =</w:t>
            </w:r>
            <w:r w:rsidRPr="00CF4C67">
              <w:rPr>
                <w:rFonts w:ascii="Arial" w:hAnsi="Arial" w:cs="Arial"/>
                <w:color w:val="000000"/>
                <w:sz w:val="16"/>
                <w:szCs w:val="16"/>
              </w:rPr>
              <w:t xml:space="preserve"> </w:t>
            </w:r>
            <w:r w:rsidRPr="00CF4C67">
              <w:rPr>
                <w:rFonts w:ascii="Arial" w:hAnsi="Arial" w:cs="Arial"/>
                <w:b/>
                <w:bCs/>
                <w:color w:val="000000"/>
                <w:sz w:val="16"/>
                <w:szCs w:val="16"/>
              </w:rPr>
              <w:t>No</w:t>
            </w:r>
            <w:r w:rsidRPr="00CF4C67">
              <w:rPr>
                <w:rFonts w:ascii="Arial" w:hAnsi="Arial" w:cs="Arial"/>
                <w:color w:val="000000"/>
                <w:sz w:val="16"/>
                <w:szCs w:val="16"/>
              </w:rPr>
              <w:t xml:space="preserve"> can explain why </w:t>
            </w:r>
            <w:proofErr w:type="gramStart"/>
            <w:r w:rsidRPr="00CF4C67">
              <w:rPr>
                <w:rFonts w:ascii="Arial" w:hAnsi="Arial" w:cs="Arial"/>
                <w:color w:val="000000"/>
                <w:sz w:val="16"/>
                <w:szCs w:val="16"/>
              </w:rPr>
              <w:t>e.g.</w:t>
            </w:r>
            <w:proofErr w:type="gramEnd"/>
            <w:r w:rsidRPr="00CF4C67">
              <w:rPr>
                <w:rFonts w:ascii="Arial" w:hAnsi="Arial" w:cs="Arial"/>
                <w:color w:val="000000"/>
                <w:sz w:val="16"/>
                <w:szCs w:val="16"/>
              </w:rPr>
              <w:t xml:space="preserve"> </w:t>
            </w:r>
            <w:r w:rsidRPr="00CF4C67">
              <w:rPr>
                <w:rFonts w:ascii="Arial" w:hAnsi="Arial" w:cs="Arial"/>
                <w:b/>
                <w:bCs/>
                <w:color w:val="000000"/>
                <w:sz w:val="16"/>
                <w:szCs w:val="16"/>
              </w:rPr>
              <w:t>not propagated</w:t>
            </w:r>
          </w:p>
          <w:p w14:paraId="031BBF67" w14:textId="77777777" w:rsidR="008354E8" w:rsidRPr="00CF4C67" w:rsidRDefault="008354E8" w:rsidP="00C21C70">
            <w:pPr>
              <w:pStyle w:val="NormalWeb"/>
              <w:spacing w:before="0" w:after="0"/>
              <w:rPr>
                <w:sz w:val="16"/>
                <w:szCs w:val="16"/>
              </w:rPr>
            </w:pPr>
            <w:r w:rsidRPr="00CF4C67">
              <w:rPr>
                <w:rFonts w:ascii="Arial" w:hAnsi="Arial" w:cs="Arial"/>
                <w:color w:val="000000"/>
                <w:sz w:val="16"/>
                <w:szCs w:val="16"/>
              </w:rPr>
              <w:t xml:space="preserve">Also, </w:t>
            </w:r>
            <w:r w:rsidRPr="00CF4C67">
              <w:rPr>
                <w:rFonts w:ascii="Arial" w:hAnsi="Arial" w:cs="Arial"/>
                <w:b/>
                <w:bCs/>
                <w:color w:val="000000"/>
                <w:sz w:val="16"/>
                <w:szCs w:val="16"/>
              </w:rPr>
              <w:t>NA, I don’t know, I can’t tell</w:t>
            </w:r>
          </w:p>
        </w:tc>
        <w:tc>
          <w:tcPr>
            <w:tcW w:w="1268" w:type="dxa"/>
            <w:vMerge w:val="restart"/>
            <w:tcMar>
              <w:top w:w="0" w:type="dxa"/>
              <w:left w:w="45" w:type="dxa"/>
              <w:bottom w:w="0" w:type="dxa"/>
              <w:right w:w="45" w:type="dxa"/>
            </w:tcMar>
            <w:vAlign w:val="center"/>
            <w:hideMark/>
          </w:tcPr>
          <w:p w14:paraId="5A8A8F8F" w14:textId="77777777" w:rsidR="008354E8" w:rsidRPr="00CF4C67" w:rsidRDefault="008354E8" w:rsidP="00C21C70">
            <w:pPr>
              <w:pStyle w:val="NormalWeb"/>
              <w:spacing w:before="0" w:beforeAutospacing="0" w:after="0" w:afterAutospacing="0"/>
              <w:rPr>
                <w:rFonts w:ascii="Arial" w:hAnsi="Arial" w:cs="Arial"/>
                <w:b/>
                <w:bCs/>
                <w:color w:val="000000"/>
                <w:sz w:val="16"/>
                <w:szCs w:val="16"/>
              </w:rPr>
            </w:pPr>
            <w:r w:rsidRPr="00CF4C67">
              <w:rPr>
                <w:rFonts w:ascii="Arial" w:hAnsi="Arial" w:cs="Arial"/>
                <w:b/>
                <w:bCs/>
                <w:color w:val="000000"/>
                <w:sz w:val="16"/>
                <w:szCs w:val="16"/>
              </w:rPr>
              <w:t>Main, SI, Data, Citation</w:t>
            </w:r>
          </w:p>
          <w:p w14:paraId="10B24330" w14:textId="77777777" w:rsidR="008354E8" w:rsidRPr="00CF4C67" w:rsidRDefault="008354E8" w:rsidP="00C21C70">
            <w:pPr>
              <w:pStyle w:val="NormalWeb"/>
              <w:spacing w:before="0" w:beforeAutospacing="0" w:after="0" w:afterAutospacing="0"/>
              <w:rPr>
                <w:b/>
                <w:bCs/>
                <w:color w:val="000000"/>
                <w:sz w:val="16"/>
                <w:szCs w:val="16"/>
              </w:rPr>
            </w:pPr>
          </w:p>
          <w:p w14:paraId="21C83193" w14:textId="77777777" w:rsidR="008354E8" w:rsidRPr="00CF4C67" w:rsidRDefault="008354E8" w:rsidP="00C21C70">
            <w:pPr>
              <w:pStyle w:val="NormalWeb"/>
              <w:spacing w:before="0" w:beforeAutospacing="0" w:after="0" w:afterAutospacing="0"/>
              <w:rPr>
                <w:sz w:val="16"/>
                <w:szCs w:val="16"/>
              </w:rPr>
            </w:pPr>
            <w:r w:rsidRPr="00CF4C67">
              <w:rPr>
                <w:color w:val="000000"/>
                <w:sz w:val="16"/>
                <w:szCs w:val="16"/>
                <w:lang w:val="en-GB"/>
              </w:rPr>
              <w:t>(</w:t>
            </w:r>
            <w:proofErr w:type="gramStart"/>
            <w:r w:rsidRPr="00CF4C67">
              <w:rPr>
                <w:color w:val="000000"/>
                <w:sz w:val="16"/>
                <w:szCs w:val="16"/>
                <w:lang w:val="en-GB"/>
              </w:rPr>
              <w:t>same</w:t>
            </w:r>
            <w:proofErr w:type="gramEnd"/>
            <w:r w:rsidRPr="00CF4C67">
              <w:rPr>
                <w:color w:val="000000"/>
                <w:sz w:val="16"/>
                <w:szCs w:val="16"/>
                <w:lang w:val="en-GB"/>
              </w:rPr>
              <w:t xml:space="preserve"> as response instructions)</w:t>
            </w:r>
          </w:p>
        </w:tc>
        <w:tc>
          <w:tcPr>
            <w:tcW w:w="1132" w:type="dxa"/>
            <w:vMerge w:val="restart"/>
            <w:tcMar>
              <w:top w:w="0" w:type="dxa"/>
              <w:left w:w="45" w:type="dxa"/>
              <w:bottom w:w="0" w:type="dxa"/>
              <w:right w:w="45" w:type="dxa"/>
            </w:tcMar>
            <w:vAlign w:val="center"/>
            <w:hideMark/>
          </w:tcPr>
          <w:p w14:paraId="1822A388" w14:textId="77777777" w:rsidR="008354E8" w:rsidRPr="00CF4C67" w:rsidRDefault="008354E8" w:rsidP="00C21C70">
            <w:pPr>
              <w:pStyle w:val="NormalWeb"/>
              <w:spacing w:before="0" w:beforeAutospacing="0" w:after="0" w:afterAutospacing="0"/>
              <w:rPr>
                <w:rFonts w:ascii="Arial" w:hAnsi="Arial" w:cs="Arial"/>
                <w:b/>
                <w:bCs/>
                <w:color w:val="000000"/>
                <w:sz w:val="16"/>
                <w:szCs w:val="16"/>
              </w:rPr>
            </w:pPr>
            <w:r w:rsidRPr="00CF4C67">
              <w:rPr>
                <w:rFonts w:ascii="Arial" w:hAnsi="Arial" w:cs="Arial"/>
                <w:b/>
                <w:bCs/>
                <w:color w:val="000000"/>
                <w:sz w:val="16"/>
                <w:szCs w:val="16"/>
              </w:rPr>
              <w:t>visual, text, numeric</w:t>
            </w:r>
          </w:p>
          <w:p w14:paraId="03E844B1" w14:textId="77777777" w:rsidR="008354E8" w:rsidRPr="00CF4C67" w:rsidRDefault="008354E8" w:rsidP="00C21C70">
            <w:pPr>
              <w:pStyle w:val="NormalWeb"/>
              <w:spacing w:before="0" w:beforeAutospacing="0" w:after="0" w:afterAutospacing="0"/>
              <w:rPr>
                <w:rFonts w:ascii="Arial" w:hAnsi="Arial" w:cs="Arial"/>
                <w:sz w:val="16"/>
                <w:szCs w:val="16"/>
              </w:rPr>
            </w:pPr>
          </w:p>
          <w:p w14:paraId="009FFB31" w14:textId="77777777" w:rsidR="008354E8" w:rsidRPr="00CF4C67" w:rsidRDefault="008354E8" w:rsidP="00C21C70">
            <w:pPr>
              <w:pStyle w:val="NormalWeb"/>
              <w:spacing w:before="0" w:beforeAutospacing="0" w:after="0" w:afterAutospacing="0"/>
              <w:rPr>
                <w:sz w:val="16"/>
                <w:szCs w:val="16"/>
              </w:rPr>
            </w:pPr>
            <w:r w:rsidRPr="00CF4C67">
              <w:rPr>
                <w:color w:val="000000"/>
                <w:sz w:val="16"/>
                <w:szCs w:val="16"/>
                <w:lang w:val="en-GB"/>
              </w:rPr>
              <w:t>(</w:t>
            </w:r>
            <w:proofErr w:type="gramStart"/>
            <w:r w:rsidRPr="00CF4C67">
              <w:rPr>
                <w:color w:val="000000"/>
                <w:sz w:val="16"/>
                <w:szCs w:val="16"/>
                <w:lang w:val="en-GB"/>
              </w:rPr>
              <w:t>same</w:t>
            </w:r>
            <w:proofErr w:type="gramEnd"/>
            <w:r w:rsidRPr="00CF4C67">
              <w:rPr>
                <w:color w:val="000000"/>
                <w:sz w:val="16"/>
                <w:szCs w:val="16"/>
                <w:lang w:val="en-GB"/>
              </w:rPr>
              <w:t xml:space="preserve"> as response instructions)</w:t>
            </w:r>
          </w:p>
        </w:tc>
        <w:tc>
          <w:tcPr>
            <w:tcW w:w="1266" w:type="dxa"/>
            <w:vMerge/>
            <w:tcMar>
              <w:top w:w="0" w:type="dxa"/>
              <w:left w:w="45" w:type="dxa"/>
              <w:bottom w:w="0" w:type="dxa"/>
              <w:right w:w="45" w:type="dxa"/>
            </w:tcMar>
            <w:vAlign w:val="bottom"/>
            <w:hideMark/>
          </w:tcPr>
          <w:p w14:paraId="147445D2" w14:textId="77777777" w:rsidR="008354E8" w:rsidRPr="00CF4C67" w:rsidRDefault="008354E8" w:rsidP="00C21C70">
            <w:pPr>
              <w:pStyle w:val="NormalWeb"/>
              <w:spacing w:before="0" w:after="0"/>
              <w:rPr>
                <w:sz w:val="16"/>
                <w:szCs w:val="16"/>
              </w:rPr>
            </w:pPr>
          </w:p>
        </w:tc>
      </w:tr>
      <w:tr w:rsidR="00F82C75" w:rsidRPr="00CF4C67" w14:paraId="2E15D240" w14:textId="77777777" w:rsidTr="00C21C70">
        <w:trPr>
          <w:trHeight w:val="7037"/>
        </w:trPr>
        <w:tc>
          <w:tcPr>
            <w:tcW w:w="0" w:type="auto"/>
            <w:shd w:val="clear" w:color="auto" w:fill="D9D9D9"/>
            <w:vAlign w:val="center"/>
          </w:tcPr>
          <w:p w14:paraId="68717848" w14:textId="77777777" w:rsidR="008354E8" w:rsidRPr="00CF4C67" w:rsidRDefault="008354E8" w:rsidP="00C21C70">
            <w:pPr>
              <w:pStyle w:val="NormalWeb"/>
              <w:spacing w:before="0" w:beforeAutospacing="0" w:after="0" w:afterAutospacing="0"/>
              <w:jc w:val="center"/>
              <w:rPr>
                <w:rFonts w:ascii="Arial" w:hAnsi="Arial" w:cs="Arial"/>
                <w:b/>
                <w:bCs/>
                <w:color w:val="000000" w:themeColor="text1"/>
                <w:sz w:val="16"/>
                <w:szCs w:val="16"/>
                <w:lang w:val="en-GB"/>
              </w:rPr>
            </w:pPr>
            <w:r w:rsidRPr="00CF4C67">
              <w:rPr>
                <w:rFonts w:ascii="Arial" w:hAnsi="Arial" w:cs="Arial"/>
                <w:b/>
                <w:bCs/>
                <w:color w:val="000000" w:themeColor="text1"/>
                <w:sz w:val="16"/>
                <w:szCs w:val="16"/>
                <w:lang w:val="en-GB"/>
              </w:rPr>
              <w:t>9</w:t>
            </w:r>
          </w:p>
        </w:tc>
        <w:tc>
          <w:tcPr>
            <w:tcW w:w="1137" w:type="dxa"/>
            <w:shd w:val="clear" w:color="auto" w:fill="D9D9D9"/>
            <w:tcMar>
              <w:top w:w="0" w:type="dxa"/>
              <w:left w:w="45" w:type="dxa"/>
              <w:bottom w:w="0" w:type="dxa"/>
              <w:right w:w="45" w:type="dxa"/>
            </w:tcMar>
            <w:vAlign w:val="center"/>
            <w:hideMark/>
          </w:tcPr>
          <w:p w14:paraId="64205266"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themeColor="text1"/>
                <w:sz w:val="16"/>
                <w:szCs w:val="16"/>
              </w:rPr>
              <w:t>Is uncertainty</w:t>
            </w:r>
            <w:r w:rsidRPr="00CF4C67">
              <w:rPr>
                <w:rFonts w:ascii="Arial" w:hAnsi="Arial" w:cs="Arial"/>
                <w:color w:val="000000" w:themeColor="text1"/>
                <w:sz w:val="16"/>
                <w:szCs w:val="16"/>
                <w:lang w:val="en-GB"/>
              </w:rPr>
              <w:t xml:space="preserve"> from the f</w:t>
            </w:r>
            <w:r w:rsidRPr="00CF4C67">
              <w:rPr>
                <w:rFonts w:ascii="Arial" w:hAnsi="Arial" w:cs="Arial"/>
                <w:b/>
                <w:bCs/>
                <w:color w:val="000000" w:themeColor="text1"/>
                <w:sz w:val="16"/>
                <w:szCs w:val="16"/>
                <w:lang w:val="en-GB"/>
              </w:rPr>
              <w:t>ocal model</w:t>
            </w:r>
            <w:r w:rsidRPr="00CF4C67">
              <w:rPr>
                <w:rFonts w:ascii="Arial" w:hAnsi="Arial" w:cs="Arial"/>
                <w:color w:val="000000" w:themeColor="text1"/>
                <w:sz w:val="16"/>
                <w:szCs w:val="16"/>
              </w:rPr>
              <w:t xml:space="preserve"> discussed in the discussion? </w:t>
            </w:r>
          </w:p>
        </w:tc>
        <w:tc>
          <w:tcPr>
            <w:tcW w:w="1620" w:type="dxa"/>
            <w:shd w:val="clear" w:color="auto" w:fill="D9D9D9"/>
            <w:tcMar>
              <w:top w:w="0" w:type="dxa"/>
              <w:left w:w="45" w:type="dxa"/>
              <w:bottom w:w="0" w:type="dxa"/>
              <w:right w:w="45" w:type="dxa"/>
            </w:tcMar>
            <w:vAlign w:val="center"/>
            <w:hideMark/>
          </w:tcPr>
          <w:p w14:paraId="4705F0A4"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Is any uncertainty discussed in the discussion? This focuses on the discursive part of a paper, often the 'discussion or conclusion' section. You should look for whether the meaning of the uncertainty is included or any reference to how it impacts conclusions. This is not the same as the raw reporting of uncertainty in a results section. </w:t>
            </w:r>
          </w:p>
          <w:p w14:paraId="49ED9866" w14:textId="77777777" w:rsidR="008354E8" w:rsidRPr="00CF4C67" w:rsidRDefault="008354E8" w:rsidP="00C21C70">
            <w:pPr>
              <w:rPr>
                <w:sz w:val="16"/>
                <w:szCs w:val="16"/>
              </w:rPr>
            </w:pPr>
          </w:p>
          <w:p w14:paraId="3AFC4C35" w14:textId="77777777" w:rsidR="008354E8" w:rsidRPr="00CF4C67" w:rsidRDefault="008354E8" w:rsidP="00C21C70">
            <w:pPr>
              <w:rPr>
                <w:b/>
                <w:bCs/>
                <w:color w:val="000000" w:themeColor="text1"/>
                <w:sz w:val="16"/>
                <w:szCs w:val="16"/>
                <w:lang w:val="en-GB"/>
              </w:rPr>
            </w:pPr>
            <w:r w:rsidRPr="00CF4C67">
              <w:rPr>
                <w:b/>
                <w:bCs/>
                <w:color w:val="000000" w:themeColor="text1"/>
                <w:sz w:val="16"/>
                <w:szCs w:val="16"/>
                <w:lang w:val="en-GB"/>
              </w:rPr>
              <w:t>This question concerns a</w:t>
            </w:r>
            <w:proofErr w:type="spellStart"/>
            <w:r w:rsidRPr="00CF4C67">
              <w:rPr>
                <w:b/>
                <w:bCs/>
                <w:color w:val="000000" w:themeColor="text1"/>
                <w:sz w:val="16"/>
                <w:szCs w:val="16"/>
              </w:rPr>
              <w:t>ny</w:t>
            </w:r>
            <w:proofErr w:type="spellEnd"/>
            <w:r w:rsidRPr="00CF4C67">
              <w:rPr>
                <w:b/>
                <w:bCs/>
                <w:color w:val="000000" w:themeColor="text1"/>
                <w:sz w:val="16"/>
                <w:szCs w:val="16"/>
              </w:rPr>
              <w:t xml:space="preserve"> uncertainty that was quantified above</w:t>
            </w:r>
            <w:r w:rsidRPr="00CF4C67">
              <w:rPr>
                <w:b/>
                <w:bCs/>
                <w:color w:val="000000" w:themeColor="text1"/>
                <w:sz w:val="16"/>
                <w:szCs w:val="16"/>
                <w:lang w:val="en-GB"/>
              </w:rPr>
              <w:t>, not unquantified uncertainty.</w:t>
            </w:r>
          </w:p>
          <w:p w14:paraId="7C046E35" w14:textId="77777777" w:rsidR="008354E8" w:rsidRPr="00CF4C67" w:rsidRDefault="008354E8" w:rsidP="00C21C70">
            <w:pPr>
              <w:rPr>
                <w:b/>
                <w:bCs/>
                <w:color w:val="000000" w:themeColor="text1"/>
                <w:sz w:val="16"/>
                <w:szCs w:val="16"/>
                <w:lang w:val="en-GB"/>
              </w:rPr>
            </w:pPr>
          </w:p>
          <w:p w14:paraId="5104E91B" w14:textId="77777777" w:rsidR="008354E8" w:rsidRPr="00CF4C67" w:rsidRDefault="008354E8" w:rsidP="00C21C70">
            <w:pPr>
              <w:rPr>
                <w:color w:val="000000" w:themeColor="text1"/>
                <w:sz w:val="16"/>
                <w:szCs w:val="16"/>
              </w:rPr>
            </w:pPr>
            <w:r w:rsidRPr="00CF4C67">
              <w:rPr>
                <w:color w:val="000000" w:themeColor="text1"/>
                <w:sz w:val="16"/>
                <w:szCs w:val="16"/>
                <w:lang w:val="en-GB"/>
              </w:rPr>
              <w:t>Potential search words to help identify uncertainty in the discussion: u</w:t>
            </w:r>
            <w:proofErr w:type="spellStart"/>
            <w:r w:rsidRPr="00CF4C67">
              <w:rPr>
                <w:color w:val="000000" w:themeColor="text1"/>
                <w:sz w:val="16"/>
                <w:szCs w:val="16"/>
              </w:rPr>
              <w:t>ncertain</w:t>
            </w:r>
            <w:proofErr w:type="spellEnd"/>
            <w:r w:rsidRPr="00CF4C67">
              <w:rPr>
                <w:color w:val="000000" w:themeColor="text1"/>
                <w:sz w:val="16"/>
                <w:szCs w:val="16"/>
              </w:rPr>
              <w:t>, overlap, not clear, clear, range, ±</w:t>
            </w:r>
          </w:p>
          <w:p w14:paraId="446F8268" w14:textId="77777777" w:rsidR="008354E8" w:rsidRPr="00CF4C67" w:rsidRDefault="008354E8" w:rsidP="00C21C70">
            <w:pPr>
              <w:rPr>
                <w:color w:val="000000" w:themeColor="text1"/>
                <w:sz w:val="16"/>
                <w:szCs w:val="16"/>
              </w:rPr>
            </w:pPr>
          </w:p>
        </w:tc>
        <w:tc>
          <w:tcPr>
            <w:tcW w:w="1787" w:type="dxa"/>
            <w:tcMar>
              <w:top w:w="0" w:type="dxa"/>
              <w:left w:w="45" w:type="dxa"/>
              <w:bottom w:w="0" w:type="dxa"/>
              <w:right w:w="45" w:type="dxa"/>
            </w:tcMar>
            <w:vAlign w:val="center"/>
            <w:hideMark/>
          </w:tcPr>
          <w:p w14:paraId="04EAA235"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b/>
                <w:bCs/>
                <w:color w:val="000000"/>
                <w:sz w:val="16"/>
                <w:szCs w:val="16"/>
              </w:rPr>
              <w:t xml:space="preserve">Yes = </w:t>
            </w:r>
            <w:r w:rsidRPr="00CF4C67">
              <w:rPr>
                <w:rFonts w:ascii="Arial" w:hAnsi="Arial" w:cs="Arial"/>
                <w:color w:val="000000"/>
                <w:sz w:val="16"/>
                <w:szCs w:val="16"/>
              </w:rPr>
              <w:t xml:space="preserve">uncertainty is discussed in the paper beyond just reporting. </w:t>
            </w:r>
            <w:proofErr w:type="spellStart"/>
            <w:r w:rsidRPr="00CF4C67">
              <w:rPr>
                <w:rFonts w:ascii="Arial" w:hAnsi="Arial" w:cs="Arial"/>
                <w:color w:val="000000"/>
                <w:sz w:val="16"/>
                <w:szCs w:val="16"/>
              </w:rPr>
              <w:t>i.e</w:t>
            </w:r>
            <w:proofErr w:type="spellEnd"/>
            <w:r w:rsidRPr="00CF4C67">
              <w:rPr>
                <w:rFonts w:ascii="Arial" w:hAnsi="Arial" w:cs="Arial"/>
                <w:color w:val="000000"/>
                <w:sz w:val="16"/>
                <w:szCs w:val="16"/>
              </w:rPr>
              <w:t xml:space="preserve"> discuss implications. </w:t>
            </w:r>
          </w:p>
          <w:p w14:paraId="385D773D" w14:textId="77777777" w:rsidR="008354E8" w:rsidRPr="00CF4C67" w:rsidRDefault="008354E8" w:rsidP="00C21C70">
            <w:pPr>
              <w:rPr>
                <w:sz w:val="16"/>
                <w:szCs w:val="16"/>
              </w:rPr>
            </w:pPr>
          </w:p>
          <w:p w14:paraId="74B42A89"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b/>
                <w:bCs/>
                <w:color w:val="000000"/>
                <w:sz w:val="16"/>
                <w:szCs w:val="16"/>
              </w:rPr>
              <w:t xml:space="preserve">No </w:t>
            </w:r>
            <w:r w:rsidRPr="00CF4C67">
              <w:rPr>
                <w:rFonts w:ascii="Arial" w:hAnsi="Arial" w:cs="Arial"/>
                <w:color w:val="000000"/>
                <w:sz w:val="16"/>
                <w:szCs w:val="16"/>
              </w:rPr>
              <w:t>= the uncertainty is not discussed after results presented.</w:t>
            </w:r>
          </w:p>
          <w:p w14:paraId="3ED0BFA2" w14:textId="77777777" w:rsidR="008354E8" w:rsidRPr="00CF4C67" w:rsidRDefault="008354E8" w:rsidP="00C21C70">
            <w:pPr>
              <w:rPr>
                <w:sz w:val="16"/>
                <w:szCs w:val="16"/>
              </w:rPr>
            </w:pPr>
          </w:p>
          <w:p w14:paraId="6954790C"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b/>
                <w:bCs/>
                <w:color w:val="000000"/>
                <w:sz w:val="16"/>
                <w:szCs w:val="16"/>
              </w:rPr>
              <w:t xml:space="preserve">NA </w:t>
            </w:r>
            <w:r w:rsidRPr="00CF4C67">
              <w:rPr>
                <w:rFonts w:ascii="Arial" w:hAnsi="Arial" w:cs="Arial"/>
                <w:color w:val="000000"/>
                <w:sz w:val="16"/>
                <w:szCs w:val="16"/>
              </w:rPr>
              <w:t>= to be used if no uncertainty was quantified. </w:t>
            </w:r>
          </w:p>
        </w:tc>
        <w:tc>
          <w:tcPr>
            <w:tcW w:w="1721" w:type="dxa"/>
            <w:tcMar>
              <w:top w:w="0" w:type="dxa"/>
              <w:left w:w="45" w:type="dxa"/>
              <w:bottom w:w="0" w:type="dxa"/>
              <w:right w:w="45" w:type="dxa"/>
            </w:tcMar>
            <w:vAlign w:val="center"/>
            <w:hideMark/>
          </w:tcPr>
          <w:p w14:paraId="68B4C156" w14:textId="77777777" w:rsidR="008354E8" w:rsidRPr="00CF4C67" w:rsidRDefault="008354E8" w:rsidP="00C21C70">
            <w:pPr>
              <w:pStyle w:val="NormalWeb"/>
              <w:spacing w:before="0" w:beforeAutospacing="0" w:after="0" w:afterAutospacing="0"/>
              <w:rPr>
                <w:sz w:val="16"/>
                <w:szCs w:val="16"/>
              </w:rPr>
            </w:pPr>
            <w:r w:rsidRPr="00CF4C67">
              <w:rPr>
                <w:rFonts w:ascii="Arial" w:hAnsi="Arial" w:cs="Arial"/>
                <w:color w:val="000000"/>
                <w:sz w:val="16"/>
                <w:szCs w:val="16"/>
              </w:rPr>
              <w:t>Which part e.g. </w:t>
            </w:r>
          </w:p>
          <w:p w14:paraId="7969E35E" w14:textId="77777777" w:rsidR="008354E8" w:rsidRPr="00CF4C67" w:rsidRDefault="008354E8" w:rsidP="00C21C70">
            <w:pPr>
              <w:pStyle w:val="NormalWeb"/>
              <w:spacing w:before="0" w:after="0"/>
              <w:rPr>
                <w:sz w:val="16"/>
                <w:szCs w:val="16"/>
              </w:rPr>
            </w:pPr>
            <w:r w:rsidRPr="00CF4C67">
              <w:rPr>
                <w:rFonts w:ascii="Arial" w:hAnsi="Arial" w:cs="Arial"/>
                <w:b/>
                <w:bCs/>
                <w:color w:val="000000"/>
                <w:sz w:val="16"/>
                <w:szCs w:val="16"/>
              </w:rPr>
              <w:t>Response, explanatory, parameter, model, unobserved, prediction, all, none</w:t>
            </w:r>
            <w:r w:rsidRPr="00CF4C67">
              <w:rPr>
                <w:rFonts w:ascii="Arial" w:hAnsi="Arial" w:cs="Arial"/>
                <w:color w:val="000000"/>
                <w:sz w:val="16"/>
                <w:szCs w:val="16"/>
              </w:rPr>
              <w:t>. </w:t>
            </w:r>
          </w:p>
        </w:tc>
        <w:tc>
          <w:tcPr>
            <w:tcW w:w="1268" w:type="dxa"/>
            <w:vMerge/>
            <w:vAlign w:val="center"/>
            <w:hideMark/>
          </w:tcPr>
          <w:p w14:paraId="6E449943" w14:textId="77777777" w:rsidR="008354E8" w:rsidRPr="00CF4C67" w:rsidRDefault="008354E8" w:rsidP="00C21C70">
            <w:pPr>
              <w:rPr>
                <w:sz w:val="16"/>
                <w:szCs w:val="16"/>
              </w:rPr>
            </w:pPr>
          </w:p>
        </w:tc>
        <w:tc>
          <w:tcPr>
            <w:tcW w:w="1132" w:type="dxa"/>
            <w:vMerge/>
            <w:vAlign w:val="center"/>
            <w:hideMark/>
          </w:tcPr>
          <w:p w14:paraId="58B892F4" w14:textId="77777777" w:rsidR="008354E8" w:rsidRPr="00CF4C67" w:rsidRDefault="008354E8" w:rsidP="00C21C70">
            <w:pPr>
              <w:rPr>
                <w:sz w:val="16"/>
                <w:szCs w:val="16"/>
              </w:rPr>
            </w:pPr>
          </w:p>
        </w:tc>
        <w:tc>
          <w:tcPr>
            <w:tcW w:w="1266" w:type="dxa"/>
            <w:vMerge/>
            <w:tcMar>
              <w:top w:w="0" w:type="dxa"/>
              <w:left w:w="45" w:type="dxa"/>
              <w:bottom w:w="0" w:type="dxa"/>
              <w:right w:w="45" w:type="dxa"/>
            </w:tcMar>
            <w:vAlign w:val="center"/>
            <w:hideMark/>
          </w:tcPr>
          <w:p w14:paraId="3BEA7EF8" w14:textId="77777777" w:rsidR="008354E8" w:rsidRPr="00CF4C67" w:rsidRDefault="008354E8" w:rsidP="00C21C70">
            <w:pPr>
              <w:pStyle w:val="NormalWeb"/>
              <w:spacing w:before="0" w:beforeAutospacing="0" w:after="0" w:afterAutospacing="0"/>
              <w:rPr>
                <w:sz w:val="16"/>
                <w:szCs w:val="16"/>
              </w:rPr>
            </w:pPr>
          </w:p>
        </w:tc>
      </w:tr>
    </w:tbl>
    <w:p w14:paraId="162FB925" w14:textId="77777777" w:rsidR="008354E8" w:rsidRPr="00492A76" w:rsidRDefault="008354E8" w:rsidP="008354E8">
      <w:pPr>
        <w:rPr>
          <w:b/>
          <w:bCs/>
          <w:color w:val="000000"/>
          <w:sz w:val="20"/>
          <w:szCs w:val="20"/>
          <w:lang w:val="en-GB"/>
        </w:rPr>
      </w:pPr>
    </w:p>
    <w:p w14:paraId="3FDE7664" w14:textId="77777777" w:rsidR="008354E8" w:rsidRPr="00A72110" w:rsidRDefault="008354E8" w:rsidP="008354E8">
      <w:pPr>
        <w:pStyle w:val="NormalWeb"/>
        <w:spacing w:before="0" w:beforeAutospacing="0" w:after="0" w:afterAutospacing="0"/>
        <w:rPr>
          <w:i/>
          <w:iCs/>
          <w:sz w:val="22"/>
          <w:szCs w:val="22"/>
        </w:rPr>
      </w:pPr>
      <w:r w:rsidRPr="00A72110">
        <w:rPr>
          <w:rFonts w:ascii="Arial" w:hAnsi="Arial" w:cs="Arial"/>
          <w:i/>
          <w:iCs/>
          <w:color w:val="000000"/>
          <w:sz w:val="22"/>
          <w:szCs w:val="22"/>
        </w:rPr>
        <w:t>Uncertainty type definitions: </w:t>
      </w:r>
    </w:p>
    <w:p w14:paraId="5470ABC6" w14:textId="77777777" w:rsidR="008354E8" w:rsidRPr="00A72110" w:rsidRDefault="008354E8" w:rsidP="008354E8"/>
    <w:p w14:paraId="017AB5C8" w14:textId="77777777" w:rsidR="008354E8" w:rsidRPr="00A72110" w:rsidRDefault="008354E8" w:rsidP="008354E8">
      <w:pPr>
        <w:pStyle w:val="NormalWeb"/>
        <w:spacing w:before="0" w:beforeAutospacing="0" w:after="0" w:afterAutospacing="0"/>
        <w:rPr>
          <w:sz w:val="22"/>
          <w:szCs w:val="22"/>
        </w:rPr>
      </w:pPr>
      <w:r w:rsidRPr="00A72110">
        <w:rPr>
          <w:rFonts w:ascii="Arial" w:hAnsi="Arial" w:cs="Arial"/>
          <w:color w:val="000000"/>
          <w:sz w:val="22"/>
          <w:szCs w:val="22"/>
        </w:rPr>
        <w:t>This whole audit focuses on quantitative uncertainty. </w:t>
      </w:r>
    </w:p>
    <w:p w14:paraId="5B9C6DE1" w14:textId="77777777" w:rsidR="008354E8" w:rsidRPr="00A72110" w:rsidRDefault="008354E8" w:rsidP="008354E8"/>
    <w:p w14:paraId="1B3041BC" w14:textId="77777777" w:rsidR="008354E8" w:rsidRPr="00A72110" w:rsidRDefault="008354E8" w:rsidP="008354E8">
      <w:pPr>
        <w:pStyle w:val="NormalWeb"/>
        <w:numPr>
          <w:ilvl w:val="0"/>
          <w:numId w:val="14"/>
        </w:numPr>
        <w:spacing w:before="0" w:beforeAutospacing="0" w:after="0" w:afterAutospacing="0"/>
        <w:textAlignment w:val="baseline"/>
        <w:rPr>
          <w:rFonts w:ascii="Arial" w:hAnsi="Arial" w:cs="Arial"/>
          <w:color w:val="000000"/>
          <w:sz w:val="22"/>
          <w:szCs w:val="22"/>
        </w:rPr>
      </w:pPr>
      <w:r w:rsidRPr="00A72110">
        <w:rPr>
          <w:rFonts w:ascii="Arial" w:hAnsi="Arial" w:cs="Arial"/>
          <w:b/>
          <w:bCs/>
          <w:color w:val="000000"/>
          <w:sz w:val="22"/>
          <w:szCs w:val="22"/>
        </w:rPr>
        <w:t xml:space="preserve">Standard error </w:t>
      </w:r>
      <w:r w:rsidRPr="00A72110">
        <w:rPr>
          <w:rFonts w:ascii="Arial" w:hAnsi="Arial" w:cs="Arial"/>
          <w:color w:val="000000"/>
          <w:sz w:val="22"/>
          <w:szCs w:val="22"/>
        </w:rPr>
        <w:t>(</w:t>
      </w:r>
      <w:r w:rsidRPr="00A72110">
        <w:rPr>
          <w:rFonts w:ascii="Arial" w:hAnsi="Arial" w:cs="Arial"/>
          <w:b/>
          <w:bCs/>
          <w:color w:val="000000"/>
          <w:sz w:val="22"/>
          <w:szCs w:val="22"/>
        </w:rPr>
        <w:t>SE</w:t>
      </w:r>
      <w:r w:rsidRPr="00A72110">
        <w:rPr>
          <w:rFonts w:ascii="Arial" w:hAnsi="Arial" w:cs="Arial"/>
          <w:color w:val="000000"/>
          <w:sz w:val="22"/>
          <w:szCs w:val="22"/>
        </w:rPr>
        <w:t>): a standard error from a statistical model. This can be a standard error of a mean, of a difference, etc. </w:t>
      </w:r>
    </w:p>
    <w:p w14:paraId="255684F1" w14:textId="77777777" w:rsidR="008354E8" w:rsidRPr="00A72110" w:rsidRDefault="008354E8" w:rsidP="008354E8">
      <w:pPr>
        <w:pStyle w:val="NormalWeb"/>
        <w:numPr>
          <w:ilvl w:val="0"/>
          <w:numId w:val="14"/>
        </w:numPr>
        <w:spacing w:before="0" w:beforeAutospacing="0" w:after="0" w:afterAutospacing="0"/>
        <w:textAlignment w:val="baseline"/>
        <w:rPr>
          <w:rFonts w:ascii="Arial" w:hAnsi="Arial" w:cs="Arial"/>
          <w:color w:val="000000"/>
          <w:sz w:val="22"/>
          <w:szCs w:val="22"/>
        </w:rPr>
      </w:pPr>
      <w:r w:rsidRPr="00A72110">
        <w:rPr>
          <w:rFonts w:ascii="Arial" w:hAnsi="Arial" w:cs="Arial"/>
          <w:b/>
          <w:bCs/>
          <w:color w:val="000000"/>
          <w:sz w:val="22"/>
          <w:szCs w:val="22"/>
        </w:rPr>
        <w:t>Bootstrap interval (BI)</w:t>
      </w:r>
      <w:r w:rsidRPr="00A72110">
        <w:rPr>
          <w:rFonts w:ascii="Arial" w:hAnsi="Arial" w:cs="Arial"/>
          <w:color w:val="000000"/>
          <w:sz w:val="22"/>
          <w:szCs w:val="22"/>
        </w:rPr>
        <w:t>: an interval of confidence (say 95% but could be other levels) obtained by bootstrapping (resampling data and re-running an analysis).  </w:t>
      </w:r>
    </w:p>
    <w:p w14:paraId="0336DB82" w14:textId="77777777" w:rsidR="008354E8" w:rsidRPr="00A72110" w:rsidRDefault="008354E8" w:rsidP="008354E8">
      <w:pPr>
        <w:pStyle w:val="NormalWeb"/>
        <w:numPr>
          <w:ilvl w:val="0"/>
          <w:numId w:val="14"/>
        </w:numPr>
        <w:spacing w:before="0" w:beforeAutospacing="0" w:after="0" w:afterAutospacing="0"/>
        <w:textAlignment w:val="baseline"/>
        <w:rPr>
          <w:rFonts w:ascii="Arial" w:hAnsi="Arial" w:cs="Arial"/>
          <w:color w:val="000000"/>
          <w:sz w:val="22"/>
          <w:szCs w:val="22"/>
        </w:rPr>
      </w:pPr>
      <w:r w:rsidRPr="00A72110">
        <w:rPr>
          <w:rFonts w:ascii="Arial" w:hAnsi="Arial" w:cs="Arial"/>
          <w:b/>
          <w:bCs/>
          <w:color w:val="000000"/>
          <w:sz w:val="22"/>
          <w:szCs w:val="22"/>
        </w:rPr>
        <w:t>Credible interval or confidence interval (CI)</w:t>
      </w:r>
      <w:r w:rsidRPr="00A72110">
        <w:rPr>
          <w:rFonts w:ascii="Arial" w:hAnsi="Arial" w:cs="Arial"/>
          <w:color w:val="000000"/>
          <w:sz w:val="22"/>
          <w:szCs w:val="22"/>
        </w:rPr>
        <w:t>: an interval indicating plausible values usually of an unknown parameter but can also cover values of a latent response or explanatory variable. </w:t>
      </w:r>
    </w:p>
    <w:p w14:paraId="6A8FC86A" w14:textId="77777777" w:rsidR="008354E8" w:rsidRPr="00A72110" w:rsidRDefault="008354E8" w:rsidP="008354E8">
      <w:pPr>
        <w:pStyle w:val="NormalWeb"/>
        <w:numPr>
          <w:ilvl w:val="0"/>
          <w:numId w:val="14"/>
        </w:numPr>
        <w:spacing w:before="0" w:beforeAutospacing="0" w:after="0" w:afterAutospacing="0"/>
        <w:textAlignment w:val="baseline"/>
        <w:rPr>
          <w:rFonts w:ascii="Arial" w:hAnsi="Arial" w:cs="Arial"/>
          <w:color w:val="000000"/>
          <w:sz w:val="22"/>
          <w:szCs w:val="22"/>
        </w:rPr>
      </w:pPr>
      <w:r w:rsidRPr="00A72110">
        <w:rPr>
          <w:rFonts w:ascii="Arial" w:hAnsi="Arial" w:cs="Arial"/>
          <w:b/>
          <w:bCs/>
          <w:color w:val="000000"/>
          <w:sz w:val="22"/>
          <w:szCs w:val="22"/>
        </w:rPr>
        <w:t>Measurement error (ME)</w:t>
      </w:r>
      <w:r w:rsidRPr="00A72110">
        <w:rPr>
          <w:rFonts w:ascii="Arial" w:hAnsi="Arial" w:cs="Arial"/>
          <w:color w:val="000000"/>
          <w:sz w:val="22"/>
          <w:szCs w:val="22"/>
        </w:rPr>
        <w:t>: error or bias coming from the measurement of a variable. Should be quantified using an error in the variables model or other appropriate model. </w:t>
      </w:r>
    </w:p>
    <w:p w14:paraId="29088193" w14:textId="77777777" w:rsidR="008354E8" w:rsidRPr="00A72110" w:rsidRDefault="008354E8" w:rsidP="008354E8">
      <w:pPr>
        <w:pStyle w:val="NormalWeb"/>
        <w:numPr>
          <w:ilvl w:val="0"/>
          <w:numId w:val="14"/>
        </w:numPr>
        <w:spacing w:before="0" w:beforeAutospacing="0" w:after="0" w:afterAutospacing="0"/>
        <w:textAlignment w:val="baseline"/>
        <w:rPr>
          <w:rFonts w:ascii="Arial" w:hAnsi="Arial" w:cs="Arial"/>
          <w:color w:val="000000"/>
          <w:sz w:val="22"/>
          <w:szCs w:val="22"/>
        </w:rPr>
      </w:pPr>
      <w:r w:rsidRPr="00A72110">
        <w:rPr>
          <w:rFonts w:ascii="Arial" w:hAnsi="Arial" w:cs="Arial"/>
          <w:b/>
          <w:bCs/>
          <w:color w:val="000000"/>
          <w:sz w:val="22"/>
          <w:szCs w:val="22"/>
        </w:rPr>
        <w:t>Observation error (OE)</w:t>
      </w:r>
      <w:r w:rsidRPr="00A72110">
        <w:rPr>
          <w:rFonts w:ascii="Arial" w:hAnsi="Arial" w:cs="Arial"/>
          <w:color w:val="000000"/>
          <w:sz w:val="22"/>
          <w:szCs w:val="22"/>
        </w:rPr>
        <w:t>: error from observing a process. Should be quantified using an observation model. </w:t>
      </w:r>
    </w:p>
    <w:p w14:paraId="465FA092" w14:textId="77777777" w:rsidR="008354E8" w:rsidRPr="00A72110" w:rsidRDefault="008354E8" w:rsidP="008354E8">
      <w:pPr>
        <w:pStyle w:val="NormalWeb"/>
        <w:numPr>
          <w:ilvl w:val="0"/>
          <w:numId w:val="14"/>
        </w:numPr>
        <w:spacing w:before="0" w:beforeAutospacing="0" w:after="0" w:afterAutospacing="0"/>
        <w:textAlignment w:val="baseline"/>
        <w:rPr>
          <w:rFonts w:ascii="Arial" w:hAnsi="Arial" w:cs="Arial"/>
          <w:color w:val="000000"/>
          <w:sz w:val="22"/>
          <w:szCs w:val="22"/>
        </w:rPr>
      </w:pPr>
      <w:r w:rsidRPr="00A72110">
        <w:rPr>
          <w:rFonts w:ascii="Arial" w:hAnsi="Arial" w:cs="Arial"/>
          <w:b/>
          <w:bCs/>
          <w:color w:val="000000"/>
          <w:sz w:val="22"/>
          <w:szCs w:val="22"/>
        </w:rPr>
        <w:t>A state model (State)</w:t>
      </w:r>
      <w:r w:rsidRPr="00A72110">
        <w:rPr>
          <w:rFonts w:ascii="Arial" w:hAnsi="Arial" w:cs="Arial"/>
          <w:color w:val="000000"/>
          <w:sz w:val="22"/>
          <w:szCs w:val="22"/>
        </w:rPr>
        <w:t>: coupled with an observation model, this part models the underlying process of interest and is linked to the observation model. </w:t>
      </w:r>
    </w:p>
    <w:p w14:paraId="5D9FD568" w14:textId="77777777" w:rsidR="008354E8" w:rsidRPr="00A72110" w:rsidRDefault="008354E8" w:rsidP="008354E8">
      <w:pPr>
        <w:pStyle w:val="NormalWeb"/>
        <w:numPr>
          <w:ilvl w:val="0"/>
          <w:numId w:val="14"/>
        </w:numPr>
        <w:spacing w:before="0" w:beforeAutospacing="0" w:after="0" w:afterAutospacing="0"/>
        <w:textAlignment w:val="baseline"/>
        <w:rPr>
          <w:rFonts w:ascii="Arial" w:hAnsi="Arial" w:cs="Arial"/>
          <w:b/>
          <w:bCs/>
          <w:color w:val="000000"/>
          <w:sz w:val="22"/>
          <w:szCs w:val="22"/>
        </w:rPr>
      </w:pPr>
      <w:r w:rsidRPr="00A72110">
        <w:rPr>
          <w:rFonts w:ascii="Roboto" w:hAnsi="Roboto" w:cs="Arial"/>
          <w:b/>
          <w:bCs/>
          <w:color w:val="000000"/>
          <w:sz w:val="22"/>
          <w:szCs w:val="22"/>
          <w:shd w:val="clear" w:color="auto" w:fill="FFFFFF"/>
        </w:rPr>
        <w:t>Multiple scenarios (scenarios)</w:t>
      </w:r>
      <w:r w:rsidRPr="00A72110">
        <w:rPr>
          <w:rFonts w:ascii="Roboto" w:hAnsi="Roboto" w:cs="Arial"/>
          <w:color w:val="000000"/>
          <w:sz w:val="22"/>
          <w:szCs w:val="22"/>
          <w:shd w:val="clear" w:color="auto" w:fill="FFFFFF"/>
        </w:rPr>
        <w:t>: running an analysis to cover multiple scenarios to give a range of results indicating uncertainty in either model structure, parameters, or variables. </w:t>
      </w:r>
    </w:p>
    <w:p w14:paraId="57CAE4DA" w14:textId="77777777" w:rsidR="008354E8" w:rsidRPr="00A72110" w:rsidRDefault="008354E8" w:rsidP="008354E8">
      <w:pPr>
        <w:pStyle w:val="NormalWeb"/>
        <w:numPr>
          <w:ilvl w:val="0"/>
          <w:numId w:val="14"/>
        </w:numPr>
        <w:spacing w:before="0" w:beforeAutospacing="0" w:after="0" w:afterAutospacing="0"/>
        <w:textAlignment w:val="baseline"/>
        <w:rPr>
          <w:rFonts w:ascii="Roboto" w:hAnsi="Roboto"/>
          <w:b/>
          <w:bCs/>
          <w:color w:val="000000"/>
          <w:sz w:val="22"/>
          <w:szCs w:val="22"/>
        </w:rPr>
      </w:pPr>
      <w:r w:rsidRPr="00A72110">
        <w:rPr>
          <w:rFonts w:ascii="Roboto" w:hAnsi="Roboto"/>
          <w:b/>
          <w:bCs/>
          <w:color w:val="000000"/>
          <w:sz w:val="22"/>
          <w:szCs w:val="22"/>
          <w:shd w:val="clear" w:color="auto" w:fill="FFFFFF"/>
        </w:rPr>
        <w:t xml:space="preserve">Model averaging (MA): </w:t>
      </w:r>
      <w:r w:rsidRPr="00A72110">
        <w:rPr>
          <w:rFonts w:ascii="Roboto" w:hAnsi="Roboto"/>
          <w:color w:val="000000"/>
          <w:sz w:val="22"/>
          <w:szCs w:val="22"/>
          <w:shd w:val="clear" w:color="auto" w:fill="FFFFFF"/>
        </w:rPr>
        <w:t>taking a selection of models and averaging parameter estimates. This represents uncertainty introduced by model structure. </w:t>
      </w:r>
    </w:p>
    <w:p w14:paraId="1DBA5285" w14:textId="77777777" w:rsidR="008354E8" w:rsidRPr="00A72110" w:rsidRDefault="008354E8" w:rsidP="008354E8">
      <w:pPr>
        <w:pStyle w:val="NormalWeb"/>
        <w:numPr>
          <w:ilvl w:val="0"/>
          <w:numId w:val="14"/>
        </w:numPr>
        <w:spacing w:before="0" w:beforeAutospacing="0" w:after="0" w:afterAutospacing="0"/>
        <w:textAlignment w:val="baseline"/>
        <w:rPr>
          <w:rFonts w:ascii="Roboto" w:hAnsi="Roboto"/>
          <w:color w:val="000000"/>
          <w:sz w:val="22"/>
          <w:szCs w:val="22"/>
        </w:rPr>
      </w:pPr>
      <w:r w:rsidRPr="00A72110">
        <w:rPr>
          <w:rFonts w:ascii="Roboto" w:hAnsi="Roboto"/>
          <w:b/>
          <w:bCs/>
          <w:color w:val="000000"/>
          <w:sz w:val="22"/>
          <w:szCs w:val="22"/>
          <w:shd w:val="clear" w:color="auto" w:fill="FFFFFF"/>
        </w:rPr>
        <w:t>Model ensemble (</w:t>
      </w:r>
      <w:proofErr w:type="spellStart"/>
      <w:r w:rsidRPr="00A72110">
        <w:rPr>
          <w:rFonts w:ascii="Roboto" w:hAnsi="Roboto"/>
          <w:b/>
          <w:bCs/>
          <w:color w:val="000000"/>
          <w:sz w:val="22"/>
          <w:szCs w:val="22"/>
          <w:shd w:val="clear" w:color="auto" w:fill="FFFFFF"/>
        </w:rPr>
        <w:t>En</w:t>
      </w:r>
      <w:proofErr w:type="spellEnd"/>
      <w:r w:rsidRPr="00A72110">
        <w:rPr>
          <w:rFonts w:ascii="Roboto" w:hAnsi="Roboto"/>
          <w:color w:val="000000"/>
          <w:sz w:val="22"/>
          <w:szCs w:val="22"/>
          <w:shd w:val="clear" w:color="auto" w:fill="FFFFFF"/>
        </w:rPr>
        <w:t>): taking a collection of models with different structures and presenting results from all of them simultaneously with uncertainty bands reflective of all models in the ensemble. Represents some uncertainty in model structure. </w:t>
      </w:r>
    </w:p>
    <w:p w14:paraId="0FFC6B32" w14:textId="77777777" w:rsidR="008354E8" w:rsidRPr="00A72110" w:rsidRDefault="008354E8" w:rsidP="008354E8">
      <w:pPr>
        <w:pStyle w:val="NormalWeb"/>
        <w:numPr>
          <w:ilvl w:val="0"/>
          <w:numId w:val="14"/>
        </w:numPr>
        <w:spacing w:before="0" w:beforeAutospacing="0" w:after="0" w:afterAutospacing="0"/>
        <w:textAlignment w:val="baseline"/>
        <w:rPr>
          <w:rFonts w:ascii="Roboto" w:hAnsi="Roboto"/>
          <w:b/>
          <w:bCs/>
          <w:color w:val="000000"/>
          <w:sz w:val="22"/>
          <w:szCs w:val="22"/>
        </w:rPr>
      </w:pPr>
      <w:r w:rsidRPr="00A72110">
        <w:rPr>
          <w:rFonts w:ascii="Roboto" w:hAnsi="Roboto"/>
          <w:b/>
          <w:bCs/>
          <w:color w:val="000000"/>
          <w:sz w:val="22"/>
          <w:szCs w:val="22"/>
          <w:shd w:val="clear" w:color="auto" w:fill="FFFFFF"/>
        </w:rPr>
        <w:t xml:space="preserve">Model comparison (MC): </w:t>
      </w:r>
      <w:r w:rsidRPr="00A72110">
        <w:rPr>
          <w:rFonts w:ascii="Roboto" w:hAnsi="Roboto"/>
          <w:color w:val="000000"/>
          <w:sz w:val="22"/>
          <w:szCs w:val="22"/>
          <w:shd w:val="clear" w:color="auto" w:fill="FFFFFF"/>
        </w:rPr>
        <w:t>running models with different structures or parameter values or inputs and comparing the results to give an indication of the uncertainty introduced by the varied component. </w:t>
      </w:r>
    </w:p>
    <w:p w14:paraId="61A91D73" w14:textId="77777777" w:rsidR="008354E8" w:rsidRPr="00A72110" w:rsidRDefault="008354E8" w:rsidP="008354E8">
      <w:pPr>
        <w:pStyle w:val="NormalWeb"/>
        <w:numPr>
          <w:ilvl w:val="0"/>
          <w:numId w:val="14"/>
        </w:numPr>
        <w:spacing w:before="0" w:beforeAutospacing="0" w:after="0" w:afterAutospacing="0"/>
        <w:textAlignment w:val="baseline"/>
        <w:rPr>
          <w:rFonts w:ascii="Roboto" w:hAnsi="Roboto"/>
          <w:color w:val="000000"/>
          <w:sz w:val="22"/>
          <w:szCs w:val="22"/>
        </w:rPr>
      </w:pPr>
      <w:r w:rsidRPr="00A72110">
        <w:rPr>
          <w:rFonts w:ascii="Roboto" w:hAnsi="Roboto"/>
          <w:b/>
          <w:bCs/>
          <w:color w:val="000000"/>
          <w:sz w:val="22"/>
          <w:szCs w:val="22"/>
          <w:shd w:val="clear" w:color="auto" w:fill="FFFFFF"/>
        </w:rPr>
        <w:t>Prediction interval (PI</w:t>
      </w:r>
      <w:r w:rsidRPr="00A72110">
        <w:rPr>
          <w:rFonts w:ascii="Roboto" w:hAnsi="Roboto"/>
          <w:color w:val="000000"/>
          <w:sz w:val="22"/>
          <w:szCs w:val="22"/>
          <w:shd w:val="clear" w:color="auto" w:fill="FFFFFF"/>
        </w:rPr>
        <w:t>): an interval indicating a level of uncertainty in a prediction (usually of a response). </w:t>
      </w:r>
    </w:p>
    <w:p w14:paraId="2FDBBF23" w14:textId="77777777" w:rsidR="008354E8" w:rsidRPr="00A72110" w:rsidRDefault="008354E8" w:rsidP="008354E8">
      <w:pPr>
        <w:pStyle w:val="NormalWeb"/>
        <w:numPr>
          <w:ilvl w:val="0"/>
          <w:numId w:val="14"/>
        </w:numPr>
        <w:spacing w:before="0" w:beforeAutospacing="0" w:after="0" w:afterAutospacing="0"/>
        <w:textAlignment w:val="baseline"/>
        <w:rPr>
          <w:rFonts w:ascii="Roboto" w:hAnsi="Roboto"/>
          <w:color w:val="000000"/>
          <w:sz w:val="22"/>
          <w:szCs w:val="22"/>
        </w:rPr>
      </w:pPr>
      <w:r w:rsidRPr="00A72110">
        <w:rPr>
          <w:rFonts w:ascii="Roboto" w:hAnsi="Roboto"/>
          <w:b/>
          <w:bCs/>
          <w:color w:val="000000"/>
          <w:sz w:val="22"/>
          <w:szCs w:val="22"/>
          <w:shd w:val="clear" w:color="auto" w:fill="FFFFFF"/>
        </w:rPr>
        <w:t>Range:</w:t>
      </w:r>
      <w:r w:rsidRPr="00A72110">
        <w:rPr>
          <w:rFonts w:ascii="Roboto" w:hAnsi="Roboto"/>
          <w:color w:val="000000"/>
          <w:sz w:val="22"/>
          <w:szCs w:val="22"/>
          <w:shd w:val="clear" w:color="auto" w:fill="FFFFFF"/>
        </w:rPr>
        <w:t xml:space="preserve"> model run using a variety of values for that </w:t>
      </w:r>
      <w:proofErr w:type="gramStart"/>
      <w:r w:rsidRPr="00A72110">
        <w:rPr>
          <w:rFonts w:ascii="Roboto" w:hAnsi="Roboto"/>
          <w:color w:val="000000"/>
          <w:sz w:val="22"/>
          <w:szCs w:val="22"/>
          <w:shd w:val="clear" w:color="auto" w:fill="FFFFFF"/>
        </w:rPr>
        <w:t>source  e.g.</w:t>
      </w:r>
      <w:proofErr w:type="gramEnd"/>
      <w:r w:rsidRPr="00A72110">
        <w:rPr>
          <w:rFonts w:ascii="Roboto" w:hAnsi="Roboto"/>
          <w:color w:val="000000"/>
          <w:sz w:val="22"/>
          <w:szCs w:val="22"/>
          <w:shd w:val="clear" w:color="auto" w:fill="FFFFFF"/>
        </w:rPr>
        <w:t xml:space="preserve"> using a sequence of parameter values or selecting parameter values randomly from distributions. </w:t>
      </w:r>
    </w:p>
    <w:p w14:paraId="1C406CF2" w14:textId="77777777" w:rsidR="008354E8" w:rsidRPr="00A72110" w:rsidRDefault="008354E8" w:rsidP="008354E8">
      <w:pPr>
        <w:pStyle w:val="NormalWeb"/>
        <w:numPr>
          <w:ilvl w:val="0"/>
          <w:numId w:val="14"/>
        </w:numPr>
        <w:spacing w:before="0" w:beforeAutospacing="0" w:after="0" w:afterAutospacing="0"/>
        <w:textAlignment w:val="baseline"/>
        <w:rPr>
          <w:rFonts w:ascii="Roboto" w:hAnsi="Roboto"/>
          <w:b/>
          <w:bCs/>
          <w:color w:val="000000"/>
          <w:sz w:val="22"/>
          <w:szCs w:val="22"/>
        </w:rPr>
      </w:pPr>
      <w:r w:rsidRPr="00A72110">
        <w:rPr>
          <w:rFonts w:ascii="Roboto" w:hAnsi="Roboto"/>
          <w:b/>
          <w:bCs/>
          <w:color w:val="000000"/>
          <w:sz w:val="22"/>
          <w:szCs w:val="22"/>
          <w:shd w:val="clear" w:color="auto" w:fill="FFFFFF"/>
        </w:rPr>
        <w:t>Standard deviation (SD):</w:t>
      </w:r>
      <w:r w:rsidRPr="00A72110">
        <w:rPr>
          <w:rFonts w:ascii="Roboto" w:hAnsi="Roboto"/>
          <w:color w:val="000000"/>
          <w:sz w:val="22"/>
          <w:szCs w:val="22"/>
          <w:shd w:val="clear" w:color="auto" w:fill="FFFFFF"/>
        </w:rPr>
        <w:t xml:space="preserve"> but only of model outputs or estimated parameters, not of observed data (in this later case it just shows variability). </w:t>
      </w:r>
    </w:p>
    <w:p w14:paraId="6EA04179" w14:textId="77777777" w:rsidR="008354E8" w:rsidRPr="00A72110" w:rsidRDefault="008354E8" w:rsidP="008354E8">
      <w:pPr>
        <w:pStyle w:val="NormalWeb"/>
        <w:numPr>
          <w:ilvl w:val="0"/>
          <w:numId w:val="14"/>
        </w:numPr>
        <w:spacing w:before="0" w:beforeAutospacing="0" w:after="0" w:afterAutospacing="0"/>
        <w:textAlignment w:val="baseline"/>
        <w:rPr>
          <w:rFonts w:ascii="Roboto" w:hAnsi="Roboto"/>
          <w:b/>
          <w:bCs/>
          <w:color w:val="000000"/>
          <w:sz w:val="22"/>
          <w:szCs w:val="22"/>
        </w:rPr>
      </w:pPr>
      <w:r w:rsidRPr="00A72110">
        <w:rPr>
          <w:rFonts w:ascii="Roboto" w:hAnsi="Roboto"/>
          <w:b/>
          <w:bCs/>
          <w:color w:val="000000"/>
          <w:sz w:val="22"/>
          <w:szCs w:val="22"/>
          <w:shd w:val="clear" w:color="auto" w:fill="FFFFFF"/>
        </w:rPr>
        <w:t xml:space="preserve">Censoring (Censoring): </w:t>
      </w:r>
      <w:r w:rsidRPr="00A72110">
        <w:rPr>
          <w:rFonts w:ascii="Roboto" w:hAnsi="Roboto"/>
          <w:color w:val="000000"/>
          <w:sz w:val="22"/>
          <w:szCs w:val="22"/>
          <w:shd w:val="clear" w:color="auto" w:fill="FFFFFF"/>
        </w:rPr>
        <w:t xml:space="preserve">for </w:t>
      </w:r>
      <w:proofErr w:type="gramStart"/>
      <w:r w:rsidRPr="00A72110">
        <w:rPr>
          <w:rFonts w:ascii="Roboto" w:hAnsi="Roboto"/>
          <w:color w:val="000000"/>
          <w:sz w:val="22"/>
          <w:szCs w:val="22"/>
          <w:shd w:val="clear" w:color="auto" w:fill="FFFFFF"/>
        </w:rPr>
        <w:t>example</w:t>
      </w:r>
      <w:proofErr w:type="gramEnd"/>
      <w:r w:rsidRPr="00A72110">
        <w:rPr>
          <w:rFonts w:ascii="Roboto" w:hAnsi="Roboto"/>
          <w:color w:val="000000"/>
          <w:sz w:val="22"/>
          <w:szCs w:val="22"/>
          <w:shd w:val="clear" w:color="auto" w:fill="FFFFFF"/>
        </w:rPr>
        <w:t xml:space="preserve"> for survival data where the outcome of certain individuals is not known. </w:t>
      </w:r>
    </w:p>
    <w:p w14:paraId="14FCBCB1" w14:textId="77777777" w:rsidR="008354E8" w:rsidRPr="00A72110" w:rsidRDefault="008354E8" w:rsidP="008354E8">
      <w:pPr>
        <w:pStyle w:val="NormalWeb"/>
        <w:numPr>
          <w:ilvl w:val="0"/>
          <w:numId w:val="14"/>
        </w:numPr>
        <w:spacing w:before="0" w:beforeAutospacing="0" w:after="0" w:afterAutospacing="0"/>
        <w:textAlignment w:val="baseline"/>
        <w:rPr>
          <w:rFonts w:ascii="Roboto" w:hAnsi="Roboto"/>
          <w:b/>
          <w:bCs/>
          <w:color w:val="000000"/>
          <w:sz w:val="22"/>
          <w:szCs w:val="22"/>
        </w:rPr>
      </w:pPr>
      <w:r w:rsidRPr="00A72110">
        <w:rPr>
          <w:rFonts w:ascii="Roboto" w:hAnsi="Roboto"/>
          <w:b/>
          <w:bCs/>
          <w:color w:val="000000"/>
          <w:sz w:val="22"/>
          <w:szCs w:val="22"/>
          <w:shd w:val="clear" w:color="auto" w:fill="FFFFFF"/>
        </w:rPr>
        <w:t xml:space="preserve">Full distribution: </w:t>
      </w:r>
      <w:r w:rsidRPr="00A72110">
        <w:rPr>
          <w:rFonts w:ascii="Roboto" w:hAnsi="Roboto"/>
          <w:color w:val="000000"/>
          <w:sz w:val="22"/>
          <w:szCs w:val="22"/>
          <w:shd w:val="clear" w:color="auto" w:fill="FFFFFF"/>
        </w:rPr>
        <w:t>using a full posterior distribution from a Bayesian analysis. </w:t>
      </w:r>
    </w:p>
    <w:p w14:paraId="3EDF7DFC" w14:textId="77777777" w:rsidR="008354E8" w:rsidRPr="00A72110" w:rsidRDefault="008354E8" w:rsidP="008354E8">
      <w:pPr>
        <w:pStyle w:val="ListParagraph"/>
        <w:numPr>
          <w:ilvl w:val="0"/>
          <w:numId w:val="14"/>
        </w:numPr>
        <w:suppressAutoHyphens w:val="0"/>
        <w:spacing w:line="240" w:lineRule="auto"/>
      </w:pPr>
      <w:r w:rsidRPr="00A72110">
        <w:rPr>
          <w:rFonts w:ascii="Roboto" w:hAnsi="Roboto"/>
          <w:b/>
          <w:bCs/>
          <w:color w:val="000000"/>
          <w:shd w:val="clear" w:color="auto" w:fill="FFFFFF"/>
        </w:rPr>
        <w:t xml:space="preserve">Hierarchical partitioning: </w:t>
      </w:r>
      <w:r w:rsidRPr="00A72110">
        <w:rPr>
          <w:rFonts w:ascii="Roboto" w:hAnsi="Roboto"/>
          <w:color w:val="000000"/>
          <w:shd w:val="clear" w:color="auto" w:fill="FFFFFF"/>
        </w:rPr>
        <w:t xml:space="preserve">partitions variance explained among independent variables through assessing the contributions of all orders of the variables and calculating a partition of the variance. Calculates the contribution of each independent variable separately and in conjunction with other variables. </w:t>
      </w:r>
    </w:p>
    <w:p w14:paraId="1EF1026B" w14:textId="77777777" w:rsidR="008354E8" w:rsidRDefault="008354E8" w:rsidP="008354E8">
      <w:pPr>
        <w:spacing w:line="240" w:lineRule="auto"/>
      </w:pPr>
    </w:p>
    <w:p w14:paraId="1EF67C7E" w14:textId="77777777" w:rsidR="008354E8" w:rsidRPr="00A72110" w:rsidRDefault="008354E8" w:rsidP="008354E8">
      <w:pPr>
        <w:spacing w:line="240" w:lineRule="auto"/>
      </w:pPr>
      <w:r>
        <w:t xml:space="preserve">While confidence intervals or a standard error could be calculated using a combination of a p-value and an F-value, this was not considered reporting of uncertainty for this assessment. Presentation of only a p-value and F-value puts the onus on the reader to turn this into a metric of uncertainty. However, it should be noted that providing these details would allow uncertainty to be included in further work, such as meta-analyses, using that paper’s results and therefore is still valuable. </w:t>
      </w:r>
    </w:p>
    <w:p w14:paraId="7112BB65" w14:textId="77777777" w:rsidR="008354E8" w:rsidRDefault="008354E8" w:rsidP="008354E8">
      <w:pPr>
        <w:rPr>
          <w:sz w:val="20"/>
          <w:szCs w:val="20"/>
        </w:rPr>
      </w:pPr>
    </w:p>
    <w:p w14:paraId="76AC18C9" w14:textId="77777777" w:rsidR="008354E8" w:rsidRDefault="008354E8" w:rsidP="008354E8">
      <w:pPr>
        <w:rPr>
          <w:sz w:val="20"/>
          <w:szCs w:val="20"/>
        </w:rPr>
      </w:pPr>
    </w:p>
    <w:p w14:paraId="433FC40A" w14:textId="77777777" w:rsidR="008354E8" w:rsidRPr="00BE43C4" w:rsidRDefault="008354E8" w:rsidP="008354E8">
      <w:pPr>
        <w:rPr>
          <w:b/>
          <w:i/>
          <w:iCs/>
          <w:sz w:val="24"/>
          <w:szCs w:val="24"/>
        </w:rPr>
      </w:pPr>
      <w:r w:rsidRPr="00BE43C4">
        <w:rPr>
          <w:b/>
          <w:i/>
          <w:iCs/>
          <w:sz w:val="24"/>
          <w:szCs w:val="24"/>
        </w:rPr>
        <w:t>Data cleaning</w:t>
      </w:r>
    </w:p>
    <w:p w14:paraId="00509891" w14:textId="77777777" w:rsidR="008354E8" w:rsidRPr="00492A76" w:rsidRDefault="008354E8" w:rsidP="008354E8">
      <w:pPr>
        <w:rPr>
          <w:rFonts w:ascii="Times New Roman" w:eastAsia="Times New Roman" w:hAnsi="Times New Roman" w:cs="Times New Roman"/>
          <w:sz w:val="20"/>
          <w:szCs w:val="20"/>
        </w:rPr>
      </w:pPr>
      <w:r w:rsidRPr="00492A76">
        <w:rPr>
          <w:rFonts w:ascii="Times New Roman" w:eastAsia="Times New Roman" w:hAnsi="Times New Roman" w:cs="Times New Roman"/>
          <w:sz w:val="20"/>
          <w:szCs w:val="20"/>
        </w:rPr>
        <w:t xml:space="preserve"> </w:t>
      </w:r>
    </w:p>
    <w:p w14:paraId="2EF9997D" w14:textId="77777777" w:rsidR="008354E8" w:rsidRPr="00BE43C4" w:rsidRDefault="008354E8" w:rsidP="008354E8">
      <w:r w:rsidRPr="00BE43C4">
        <w:t xml:space="preserve">After submission of </w:t>
      </w:r>
      <w:proofErr w:type="gramStart"/>
      <w:r w:rsidRPr="00BE43C4">
        <w:t>final results</w:t>
      </w:r>
      <w:proofErr w:type="gramEnd"/>
      <w:r w:rsidRPr="00BE43C4">
        <w:t>, all data tables were inspected manually first to:</w:t>
      </w:r>
    </w:p>
    <w:p w14:paraId="38822DB3" w14:textId="77777777" w:rsidR="008354E8" w:rsidRPr="00BE43C4" w:rsidRDefault="008354E8" w:rsidP="008354E8">
      <w:pPr>
        <w:rPr>
          <w:rFonts w:ascii="Times New Roman" w:eastAsia="Times New Roman" w:hAnsi="Times New Roman" w:cs="Times New Roman"/>
        </w:rPr>
      </w:pPr>
    </w:p>
    <w:p w14:paraId="751FF35B" w14:textId="77777777" w:rsidR="008354E8" w:rsidRPr="00BE43C4" w:rsidRDefault="008354E8" w:rsidP="008354E8">
      <w:pPr>
        <w:numPr>
          <w:ilvl w:val="0"/>
          <w:numId w:val="9"/>
        </w:numPr>
        <w:suppressAutoHyphens w:val="0"/>
        <w:rPr>
          <w:rFonts w:ascii="Times New Roman" w:eastAsia="Times New Roman" w:hAnsi="Times New Roman" w:cs="Times New Roman"/>
        </w:rPr>
      </w:pPr>
      <w:r w:rsidRPr="00BE43C4">
        <w:t>Remove any blank lines between papers in the table</w:t>
      </w:r>
    </w:p>
    <w:p w14:paraId="65C7E743" w14:textId="77777777" w:rsidR="008354E8" w:rsidRPr="00BE43C4" w:rsidRDefault="008354E8" w:rsidP="008354E8">
      <w:pPr>
        <w:numPr>
          <w:ilvl w:val="0"/>
          <w:numId w:val="9"/>
        </w:numPr>
        <w:suppressAutoHyphens w:val="0"/>
        <w:rPr>
          <w:rFonts w:ascii="Times New Roman" w:eastAsia="Times New Roman" w:hAnsi="Times New Roman" w:cs="Times New Roman"/>
        </w:rPr>
      </w:pPr>
      <w:r w:rsidRPr="00BE43C4">
        <w:t>Remove example papers</w:t>
      </w:r>
    </w:p>
    <w:p w14:paraId="40FFE343" w14:textId="77777777" w:rsidR="008354E8" w:rsidRPr="00BE43C4" w:rsidRDefault="008354E8" w:rsidP="008354E8">
      <w:pPr>
        <w:numPr>
          <w:ilvl w:val="0"/>
          <w:numId w:val="9"/>
        </w:numPr>
        <w:suppressAutoHyphens w:val="0"/>
        <w:rPr>
          <w:rFonts w:ascii="Times New Roman" w:eastAsia="Times New Roman" w:hAnsi="Times New Roman" w:cs="Times New Roman"/>
        </w:rPr>
      </w:pPr>
      <w:r w:rsidRPr="00BE43C4">
        <w:t>Correct any obvious spelling mistakes</w:t>
      </w:r>
    </w:p>
    <w:p w14:paraId="33BE46B9" w14:textId="77777777" w:rsidR="008354E8" w:rsidRPr="00BE43C4" w:rsidRDefault="008354E8" w:rsidP="008354E8">
      <w:pPr>
        <w:numPr>
          <w:ilvl w:val="0"/>
          <w:numId w:val="9"/>
        </w:numPr>
        <w:suppressAutoHyphens w:val="0"/>
        <w:rPr>
          <w:rFonts w:ascii="Times New Roman" w:eastAsia="Times New Roman" w:hAnsi="Times New Roman" w:cs="Times New Roman"/>
        </w:rPr>
      </w:pPr>
      <w:r w:rsidRPr="00BE43C4">
        <w:t>Ensure that Paper and Initials columns were filled in for all 9 questions (sometimes only the first was used)</w:t>
      </w:r>
    </w:p>
    <w:p w14:paraId="25AC08B1" w14:textId="77777777" w:rsidR="008354E8" w:rsidRPr="00BE43C4" w:rsidRDefault="008354E8" w:rsidP="008354E8">
      <w:pPr>
        <w:numPr>
          <w:ilvl w:val="0"/>
          <w:numId w:val="9"/>
        </w:numPr>
        <w:suppressAutoHyphens w:val="0"/>
        <w:rPr>
          <w:rFonts w:ascii="Times New Roman" w:eastAsia="Times New Roman" w:hAnsi="Times New Roman" w:cs="Times New Roman"/>
        </w:rPr>
      </w:pPr>
      <w:r w:rsidRPr="00BE43C4">
        <w:t xml:space="preserve">Check for any Excel errors </w:t>
      </w:r>
      <w:proofErr w:type="gramStart"/>
      <w:r w:rsidRPr="00BE43C4">
        <w:t>e.g.</w:t>
      </w:r>
      <w:proofErr w:type="gramEnd"/>
      <w:r w:rsidRPr="00BE43C4">
        <w:t xml:space="preserve"> increasing year for the Paper ID (2019,2020,2021)</w:t>
      </w:r>
    </w:p>
    <w:p w14:paraId="53D62DD7" w14:textId="7C103439" w:rsidR="008354E8" w:rsidRPr="00573107" w:rsidRDefault="008354E8" w:rsidP="008354E8">
      <w:pPr>
        <w:numPr>
          <w:ilvl w:val="0"/>
          <w:numId w:val="9"/>
        </w:numPr>
        <w:suppressAutoHyphens w:val="0"/>
        <w:rPr>
          <w:rFonts w:ascii="Times New Roman" w:eastAsia="Times New Roman" w:hAnsi="Times New Roman" w:cs="Times New Roman"/>
        </w:rPr>
      </w:pPr>
      <w:r w:rsidRPr="00BE43C4">
        <w:lastRenderedPageBreak/>
        <w:t>See if any checks had been tagged as violated to go back to reviewer for correction</w:t>
      </w:r>
    </w:p>
    <w:p w14:paraId="14B05942" w14:textId="3418CB44" w:rsidR="00573107" w:rsidRPr="00573107" w:rsidRDefault="00573107" w:rsidP="008354E8">
      <w:pPr>
        <w:numPr>
          <w:ilvl w:val="0"/>
          <w:numId w:val="9"/>
        </w:numPr>
        <w:suppressAutoHyphens w:val="0"/>
        <w:rPr>
          <w:rFonts w:ascii="Times New Roman" w:eastAsia="Times New Roman" w:hAnsi="Times New Roman" w:cs="Times New Roman"/>
        </w:rPr>
      </w:pPr>
      <w:r>
        <w:t>Expand model type to all rows</w:t>
      </w:r>
    </w:p>
    <w:p w14:paraId="363AB324" w14:textId="63D40972" w:rsidR="00573107" w:rsidRPr="00573107" w:rsidRDefault="00573107" w:rsidP="008354E8">
      <w:pPr>
        <w:numPr>
          <w:ilvl w:val="0"/>
          <w:numId w:val="9"/>
        </w:numPr>
        <w:suppressAutoHyphens w:val="0"/>
        <w:rPr>
          <w:rFonts w:ascii="Times New Roman" w:eastAsia="Times New Roman" w:hAnsi="Times New Roman" w:cs="Times New Roman"/>
        </w:rPr>
      </w:pPr>
      <w:r>
        <w:t>Some model types were written in the wrong column – these were moved to the correct one</w:t>
      </w:r>
    </w:p>
    <w:p w14:paraId="587B402B" w14:textId="6E7CF9D3" w:rsidR="00573107" w:rsidRPr="00BE43C4" w:rsidRDefault="00573107" w:rsidP="008354E8">
      <w:pPr>
        <w:numPr>
          <w:ilvl w:val="0"/>
          <w:numId w:val="9"/>
        </w:numPr>
        <w:suppressAutoHyphens w:val="0"/>
        <w:rPr>
          <w:rFonts w:ascii="Times New Roman" w:eastAsia="Times New Roman" w:hAnsi="Times New Roman" w:cs="Times New Roman"/>
        </w:rPr>
      </w:pPr>
      <w:r>
        <w:t>All excluded papers were removed from the datafile after exclusion reason was recorded</w:t>
      </w:r>
    </w:p>
    <w:p w14:paraId="5AA96C24" w14:textId="77777777" w:rsidR="008354E8" w:rsidRPr="00BE43C4" w:rsidRDefault="008354E8" w:rsidP="008354E8">
      <w:pPr>
        <w:rPr>
          <w:rFonts w:ascii="Times New Roman" w:eastAsia="Times New Roman" w:hAnsi="Times New Roman" w:cs="Times New Roman"/>
        </w:rPr>
      </w:pPr>
      <w:r w:rsidRPr="00BE43C4">
        <w:rPr>
          <w:rFonts w:ascii="Times New Roman" w:eastAsia="Times New Roman" w:hAnsi="Times New Roman" w:cs="Times New Roman"/>
        </w:rPr>
        <w:t xml:space="preserve"> </w:t>
      </w:r>
    </w:p>
    <w:p w14:paraId="30A69585" w14:textId="77777777" w:rsidR="008354E8" w:rsidRPr="00BE43C4" w:rsidRDefault="008354E8" w:rsidP="008354E8">
      <w:r w:rsidRPr="00BE43C4">
        <w:t>After manual inspection the data were then imported to R and further checks initiated:</w:t>
      </w:r>
    </w:p>
    <w:p w14:paraId="01C2CD23" w14:textId="77777777" w:rsidR="008354E8" w:rsidRPr="00BE43C4" w:rsidRDefault="008354E8" w:rsidP="008354E8">
      <w:pPr>
        <w:rPr>
          <w:rFonts w:ascii="Times New Roman" w:eastAsia="Times New Roman" w:hAnsi="Times New Roman" w:cs="Times New Roman"/>
        </w:rPr>
      </w:pPr>
      <w:r w:rsidRPr="00BE43C4">
        <w:rPr>
          <w:rFonts w:ascii="Times New Roman" w:eastAsia="Times New Roman" w:hAnsi="Times New Roman" w:cs="Times New Roman"/>
        </w:rPr>
        <w:t xml:space="preserve"> </w:t>
      </w:r>
    </w:p>
    <w:p w14:paraId="29446593" w14:textId="77777777" w:rsidR="008354E8" w:rsidRPr="00BE43C4" w:rsidRDefault="008354E8" w:rsidP="008354E8">
      <w:pPr>
        <w:numPr>
          <w:ilvl w:val="0"/>
          <w:numId w:val="10"/>
        </w:numPr>
        <w:suppressAutoHyphens w:val="0"/>
        <w:rPr>
          <w:rFonts w:ascii="Times New Roman" w:eastAsia="Times New Roman" w:hAnsi="Times New Roman" w:cs="Times New Roman"/>
        </w:rPr>
      </w:pPr>
      <w:r w:rsidRPr="00BE43C4">
        <w:t>Check 1 = when Answer = No, Location is NA</w:t>
      </w:r>
    </w:p>
    <w:p w14:paraId="3FF9722D" w14:textId="77777777" w:rsidR="008354E8" w:rsidRPr="00BE43C4" w:rsidRDefault="008354E8" w:rsidP="008354E8">
      <w:pPr>
        <w:numPr>
          <w:ilvl w:val="0"/>
          <w:numId w:val="10"/>
        </w:numPr>
        <w:suppressAutoHyphens w:val="0"/>
        <w:rPr>
          <w:rFonts w:ascii="Times New Roman" w:eastAsia="Times New Roman" w:hAnsi="Times New Roman" w:cs="Times New Roman"/>
        </w:rPr>
      </w:pPr>
      <w:r w:rsidRPr="00BE43C4">
        <w:t>Check 2 = when Answer to Number 1-4, 6 or 8-9 is Yes that Details are not NA</w:t>
      </w:r>
    </w:p>
    <w:p w14:paraId="5F9DF48C" w14:textId="77777777" w:rsidR="008354E8" w:rsidRPr="00BE43C4" w:rsidRDefault="008354E8" w:rsidP="008354E8">
      <w:pPr>
        <w:numPr>
          <w:ilvl w:val="0"/>
          <w:numId w:val="10"/>
        </w:numPr>
        <w:suppressAutoHyphens w:val="0"/>
        <w:rPr>
          <w:rFonts w:ascii="Times New Roman" w:eastAsia="Times New Roman" w:hAnsi="Times New Roman" w:cs="Times New Roman"/>
        </w:rPr>
      </w:pPr>
      <w:r w:rsidRPr="00BE43C4">
        <w:t>Check 3 = when Answer = No, Presentation = NA</w:t>
      </w:r>
    </w:p>
    <w:p w14:paraId="49BB94A5" w14:textId="77777777" w:rsidR="008354E8" w:rsidRPr="00BE43C4" w:rsidRDefault="008354E8" w:rsidP="008354E8">
      <w:pPr>
        <w:numPr>
          <w:ilvl w:val="0"/>
          <w:numId w:val="10"/>
        </w:numPr>
        <w:suppressAutoHyphens w:val="0"/>
        <w:rPr>
          <w:rFonts w:ascii="Times New Roman" w:eastAsia="Times New Roman" w:hAnsi="Times New Roman" w:cs="Times New Roman"/>
        </w:rPr>
      </w:pPr>
      <w:r w:rsidRPr="00BE43C4">
        <w:t>Check 4 = when Location is not NA, presentation is not NA</w:t>
      </w:r>
    </w:p>
    <w:p w14:paraId="3C426C76" w14:textId="77777777" w:rsidR="008354E8" w:rsidRPr="00BE43C4" w:rsidRDefault="008354E8" w:rsidP="008354E8">
      <w:pPr>
        <w:numPr>
          <w:ilvl w:val="0"/>
          <w:numId w:val="10"/>
        </w:numPr>
        <w:suppressAutoHyphens w:val="0"/>
        <w:rPr>
          <w:rFonts w:ascii="Times New Roman" w:eastAsia="Times New Roman" w:hAnsi="Times New Roman" w:cs="Times New Roman"/>
        </w:rPr>
      </w:pPr>
      <w:r w:rsidRPr="00BE43C4">
        <w:t>Check 5 = if the Answer to 5 or 7 is "No" then Answer to 6 and 8 = "NA"</w:t>
      </w:r>
    </w:p>
    <w:p w14:paraId="5B47C1A2" w14:textId="77777777" w:rsidR="008354E8" w:rsidRPr="00BE43C4" w:rsidRDefault="008354E8" w:rsidP="008354E8">
      <w:pPr>
        <w:numPr>
          <w:ilvl w:val="0"/>
          <w:numId w:val="10"/>
        </w:numPr>
        <w:suppressAutoHyphens w:val="0"/>
        <w:rPr>
          <w:rFonts w:ascii="Times New Roman" w:eastAsia="Times New Roman" w:hAnsi="Times New Roman" w:cs="Times New Roman"/>
        </w:rPr>
      </w:pPr>
      <w:r w:rsidRPr="00BE43C4">
        <w:t xml:space="preserve">Check 6 = if Answer for 1-4 is "No", then </w:t>
      </w:r>
      <w:proofErr w:type="gramStart"/>
      <w:r w:rsidRPr="00BE43C4">
        <w:t>Answer</w:t>
      </w:r>
      <w:proofErr w:type="gramEnd"/>
      <w:r w:rsidRPr="00BE43C4">
        <w:t xml:space="preserve"> for 9 = "NA"</w:t>
      </w:r>
    </w:p>
    <w:p w14:paraId="6ADC4ABA" w14:textId="77777777" w:rsidR="008354E8" w:rsidRPr="00BE43C4" w:rsidRDefault="008354E8" w:rsidP="008354E8">
      <w:pPr>
        <w:rPr>
          <w:rFonts w:ascii="Times New Roman" w:eastAsia="Times New Roman" w:hAnsi="Times New Roman" w:cs="Times New Roman"/>
        </w:rPr>
      </w:pPr>
      <w:r w:rsidRPr="00BE43C4">
        <w:rPr>
          <w:rFonts w:ascii="Times New Roman" w:eastAsia="Times New Roman" w:hAnsi="Times New Roman" w:cs="Times New Roman"/>
        </w:rPr>
        <w:t xml:space="preserve"> </w:t>
      </w:r>
    </w:p>
    <w:p w14:paraId="202BAA79" w14:textId="77777777" w:rsidR="008354E8" w:rsidRPr="00BE43C4" w:rsidRDefault="008354E8" w:rsidP="008354E8">
      <w:r w:rsidRPr="00BE43C4">
        <w:t xml:space="preserve">If any of these checks are violated the individual rows are checked manually. If the error is obvious and objective </w:t>
      </w:r>
      <w:proofErr w:type="gramStart"/>
      <w:r w:rsidRPr="00BE43C4">
        <w:t>e.g.</w:t>
      </w:r>
      <w:proofErr w:type="gramEnd"/>
      <w:r w:rsidRPr="00BE43C4">
        <w:t xml:space="preserve"> a clear spelling error, this is corrected by the lead author. If there is any ambiguity in the cause of the error, the row is highlighted for the original </w:t>
      </w:r>
      <w:proofErr w:type="gramStart"/>
      <w:r w:rsidRPr="00BE43C4">
        <w:t>reviewer</w:t>
      </w:r>
      <w:proofErr w:type="gramEnd"/>
      <w:r w:rsidRPr="00BE43C4">
        <w:t xml:space="preserve"> and they are asked to check.</w:t>
      </w:r>
    </w:p>
    <w:p w14:paraId="4637A2D2" w14:textId="77777777" w:rsidR="008354E8" w:rsidRPr="00BE43C4" w:rsidRDefault="008354E8" w:rsidP="008354E8">
      <w:r w:rsidRPr="00BE43C4">
        <w:t xml:space="preserve"> </w:t>
      </w:r>
    </w:p>
    <w:p w14:paraId="5F6E3B56" w14:textId="77777777" w:rsidR="008354E8" w:rsidRPr="00BE43C4" w:rsidRDefault="008354E8" w:rsidP="008354E8">
      <w:r w:rsidRPr="00BE43C4">
        <w:t xml:space="preserve">If on reading results, any seemed surprising </w:t>
      </w:r>
      <w:proofErr w:type="gramStart"/>
      <w:r w:rsidRPr="00BE43C4">
        <w:t>e.g.</w:t>
      </w:r>
      <w:proofErr w:type="gramEnd"/>
      <w:r w:rsidRPr="00BE43C4">
        <w:t xml:space="preserve"> no parameter uncertainty for a statistical model despite uncertainty being considered for the response and covariates, these papers were reassessed by the original reviewer in discussion with the project leader, or by the project leader alone to ensure consistency across the whole project.</w:t>
      </w:r>
    </w:p>
    <w:p w14:paraId="22E74569" w14:textId="77777777" w:rsidR="008354E8" w:rsidRPr="00BE43C4" w:rsidRDefault="008354E8" w:rsidP="008354E8">
      <w:pPr>
        <w:rPr>
          <w:rFonts w:ascii="Times New Roman" w:eastAsia="Times New Roman" w:hAnsi="Times New Roman" w:cs="Times New Roman"/>
        </w:rPr>
      </w:pPr>
      <w:r w:rsidRPr="00BE43C4">
        <w:rPr>
          <w:rFonts w:ascii="Times New Roman" w:eastAsia="Times New Roman" w:hAnsi="Times New Roman" w:cs="Times New Roman"/>
        </w:rPr>
        <w:t xml:space="preserve"> </w:t>
      </w:r>
    </w:p>
    <w:p w14:paraId="1D5E8797" w14:textId="77777777" w:rsidR="008354E8" w:rsidRPr="00BE43C4" w:rsidRDefault="008354E8" w:rsidP="008354E8">
      <w:r w:rsidRPr="00BE43C4">
        <w:t>Other errors and how they are dealt with:</w:t>
      </w:r>
    </w:p>
    <w:p w14:paraId="4E847968" w14:textId="77777777" w:rsidR="008354E8" w:rsidRPr="00492A76" w:rsidRDefault="008354E8" w:rsidP="008354E8">
      <w:pPr>
        <w:rPr>
          <w:rFonts w:ascii="Times New Roman" w:eastAsia="Times New Roman" w:hAnsi="Times New Roman" w:cs="Times New Roman"/>
          <w:sz w:val="20"/>
          <w:szCs w:val="20"/>
        </w:rPr>
      </w:pPr>
      <w:r w:rsidRPr="00492A76">
        <w:rPr>
          <w:rFonts w:ascii="Times New Roman" w:eastAsia="Times New Roman" w:hAnsi="Times New Roman" w:cs="Times New Roman"/>
          <w:sz w:val="20"/>
          <w:szCs w:val="20"/>
        </w:rPr>
        <w:t xml:space="preserve"> </w:t>
      </w:r>
    </w:p>
    <w:p w14:paraId="4B32648C" w14:textId="77777777" w:rsidR="008354E8" w:rsidRDefault="008354E8" w:rsidP="008354E8">
      <w:pPr>
        <w:pStyle w:val="Caption"/>
        <w:keepNext/>
      </w:pPr>
      <w:r>
        <w:rPr>
          <w:b/>
          <w:bCs/>
          <w:sz w:val="20"/>
          <w:szCs w:val="20"/>
          <w:lang w:val="en-GB"/>
        </w:rPr>
        <w:t>Table 9</w:t>
      </w:r>
      <w:r w:rsidRPr="000828D9">
        <w:rPr>
          <w:b/>
          <w:bCs/>
          <w:sz w:val="20"/>
          <w:szCs w:val="20"/>
          <w:lang w:val="en-GB"/>
        </w:rPr>
        <w:t xml:space="preserve">: </w:t>
      </w:r>
      <w:r>
        <w:rPr>
          <w:b/>
          <w:bCs/>
          <w:sz w:val="20"/>
          <w:szCs w:val="20"/>
          <w:lang w:val="en-GB"/>
        </w:rPr>
        <w:t>Detail of data errors and solutions</w:t>
      </w:r>
    </w:p>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3735"/>
        <w:gridCol w:w="5610"/>
      </w:tblGrid>
      <w:tr w:rsidR="008354E8" w:rsidRPr="00492A76" w14:paraId="0C861A82" w14:textId="77777777" w:rsidTr="00C21C70">
        <w:trPr>
          <w:trHeight w:val="450"/>
        </w:trPr>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81990" w14:textId="77777777" w:rsidR="008354E8" w:rsidRPr="00492A76" w:rsidRDefault="008354E8" w:rsidP="00C21C70">
            <w:pPr>
              <w:rPr>
                <w:b/>
                <w:sz w:val="20"/>
                <w:szCs w:val="20"/>
              </w:rPr>
            </w:pPr>
            <w:r w:rsidRPr="00492A76">
              <w:rPr>
                <w:b/>
                <w:sz w:val="20"/>
                <w:szCs w:val="20"/>
              </w:rPr>
              <w:t>Error</w:t>
            </w:r>
          </w:p>
        </w:tc>
        <w:tc>
          <w:tcPr>
            <w:tcW w:w="56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0986D2" w14:textId="77777777" w:rsidR="008354E8" w:rsidRPr="00492A76" w:rsidRDefault="008354E8" w:rsidP="00C21C70">
            <w:pPr>
              <w:rPr>
                <w:b/>
                <w:sz w:val="20"/>
                <w:szCs w:val="20"/>
              </w:rPr>
            </w:pPr>
            <w:r w:rsidRPr="00492A76">
              <w:rPr>
                <w:b/>
                <w:sz w:val="20"/>
                <w:szCs w:val="20"/>
              </w:rPr>
              <w:t>Solution</w:t>
            </w:r>
          </w:p>
        </w:tc>
      </w:tr>
      <w:tr w:rsidR="008354E8" w:rsidRPr="00492A76" w14:paraId="75064B9E" w14:textId="77777777" w:rsidTr="00C21C70">
        <w:trPr>
          <w:trHeight w:val="690"/>
        </w:trPr>
        <w:tc>
          <w:tcPr>
            <w:tcW w:w="3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B39624" w14:textId="77777777" w:rsidR="008354E8" w:rsidRPr="00492A76" w:rsidRDefault="008354E8" w:rsidP="00C21C70">
            <w:pPr>
              <w:rPr>
                <w:sz w:val="20"/>
                <w:szCs w:val="20"/>
              </w:rPr>
            </w:pPr>
            <w:r w:rsidRPr="00492A76">
              <w:rPr>
                <w:sz w:val="20"/>
                <w:szCs w:val="20"/>
              </w:rPr>
              <w:t>Wrote out full word when it should be an acronym</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14:paraId="77939D4B" w14:textId="77777777" w:rsidR="008354E8" w:rsidRPr="00492A76" w:rsidRDefault="008354E8" w:rsidP="00C21C70">
            <w:pPr>
              <w:rPr>
                <w:sz w:val="20"/>
                <w:szCs w:val="20"/>
              </w:rPr>
            </w:pPr>
            <w:r w:rsidRPr="00492A76">
              <w:rPr>
                <w:sz w:val="20"/>
                <w:szCs w:val="20"/>
              </w:rPr>
              <w:t>Overwrite to the acronym in R</w:t>
            </w:r>
          </w:p>
        </w:tc>
      </w:tr>
      <w:tr w:rsidR="008354E8" w:rsidRPr="00492A76" w14:paraId="5EB3F1B5" w14:textId="77777777" w:rsidTr="00C21C70">
        <w:trPr>
          <w:trHeight w:val="450"/>
        </w:trPr>
        <w:tc>
          <w:tcPr>
            <w:tcW w:w="3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8FD287" w14:textId="77777777" w:rsidR="008354E8" w:rsidRPr="00492A76" w:rsidRDefault="008354E8" w:rsidP="00C21C70">
            <w:pPr>
              <w:rPr>
                <w:sz w:val="20"/>
                <w:szCs w:val="20"/>
              </w:rPr>
            </w:pPr>
            <w:r w:rsidRPr="00492A76">
              <w:rPr>
                <w:sz w:val="20"/>
                <w:szCs w:val="20"/>
              </w:rPr>
              <w:t>Spelling error</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14:paraId="618C4EB2" w14:textId="77777777" w:rsidR="008354E8" w:rsidRPr="00492A76" w:rsidRDefault="008354E8" w:rsidP="00C21C70">
            <w:pPr>
              <w:rPr>
                <w:sz w:val="20"/>
                <w:szCs w:val="20"/>
              </w:rPr>
            </w:pPr>
            <w:r w:rsidRPr="00492A76">
              <w:rPr>
                <w:sz w:val="20"/>
                <w:szCs w:val="20"/>
              </w:rPr>
              <w:t>Overwrite in R</w:t>
            </w:r>
          </w:p>
        </w:tc>
      </w:tr>
      <w:tr w:rsidR="008354E8" w:rsidRPr="00492A76" w14:paraId="23A4FB81" w14:textId="77777777" w:rsidTr="00C21C70">
        <w:trPr>
          <w:trHeight w:val="945"/>
        </w:trPr>
        <w:tc>
          <w:tcPr>
            <w:tcW w:w="3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4C8DF0" w14:textId="77777777" w:rsidR="008354E8" w:rsidRPr="00492A76" w:rsidRDefault="008354E8" w:rsidP="00C21C70">
            <w:pPr>
              <w:rPr>
                <w:sz w:val="20"/>
                <w:szCs w:val="20"/>
              </w:rPr>
            </w:pPr>
            <w:r w:rsidRPr="00492A76">
              <w:rPr>
                <w:sz w:val="20"/>
                <w:szCs w:val="20"/>
              </w:rPr>
              <w:t xml:space="preserve">Specific location rather than code of Main, SI </w:t>
            </w:r>
            <w:proofErr w:type="spellStart"/>
            <w:r w:rsidRPr="00492A76">
              <w:rPr>
                <w:sz w:val="20"/>
                <w:szCs w:val="20"/>
              </w:rPr>
              <w:t>etc</w:t>
            </w:r>
            <w:proofErr w:type="spellEnd"/>
            <w:r w:rsidRPr="00492A76">
              <w:rPr>
                <w:sz w:val="20"/>
                <w:szCs w:val="20"/>
              </w:rPr>
              <w:t xml:space="preserve"> or synonym </w:t>
            </w:r>
            <w:proofErr w:type="gramStart"/>
            <w:r w:rsidRPr="00492A76">
              <w:rPr>
                <w:sz w:val="20"/>
                <w:szCs w:val="20"/>
              </w:rPr>
              <w:t>e.g.</w:t>
            </w:r>
            <w:proofErr w:type="gramEnd"/>
            <w:r w:rsidRPr="00492A76">
              <w:rPr>
                <w:sz w:val="20"/>
                <w:szCs w:val="20"/>
              </w:rPr>
              <w:t xml:space="preserve"> appendix</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14:paraId="6BEDFA37" w14:textId="77777777" w:rsidR="008354E8" w:rsidRPr="00492A76" w:rsidRDefault="008354E8" w:rsidP="00C21C70">
            <w:pPr>
              <w:rPr>
                <w:sz w:val="20"/>
                <w:szCs w:val="20"/>
              </w:rPr>
            </w:pPr>
            <w:r w:rsidRPr="00492A76">
              <w:rPr>
                <w:sz w:val="20"/>
                <w:szCs w:val="20"/>
              </w:rPr>
              <w:t xml:space="preserve">Corrected to the expected code - all cases were unambiguous </w:t>
            </w:r>
            <w:proofErr w:type="gramStart"/>
            <w:r w:rsidRPr="00492A76">
              <w:rPr>
                <w:sz w:val="20"/>
                <w:szCs w:val="20"/>
              </w:rPr>
              <w:t>e.g.</w:t>
            </w:r>
            <w:proofErr w:type="gramEnd"/>
            <w:r w:rsidRPr="00492A76">
              <w:rPr>
                <w:sz w:val="20"/>
                <w:szCs w:val="20"/>
              </w:rPr>
              <w:t xml:space="preserve"> table 1</w:t>
            </w:r>
          </w:p>
        </w:tc>
      </w:tr>
      <w:tr w:rsidR="008354E8" w:rsidRPr="00492A76" w14:paraId="67C83671" w14:textId="77777777" w:rsidTr="00C21C70">
        <w:trPr>
          <w:trHeight w:val="945"/>
        </w:trPr>
        <w:tc>
          <w:tcPr>
            <w:tcW w:w="3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515085" w14:textId="77777777" w:rsidR="008354E8" w:rsidRPr="00492A76" w:rsidRDefault="008354E8" w:rsidP="00C21C70">
            <w:pPr>
              <w:rPr>
                <w:sz w:val="20"/>
                <w:szCs w:val="20"/>
              </w:rPr>
            </w:pPr>
            <w:r w:rsidRPr="00492A76">
              <w:rPr>
                <w:sz w:val="20"/>
                <w:szCs w:val="20"/>
              </w:rPr>
              <w:t xml:space="preserve">Inclusion of type of uncertainty that was not appropriate </w:t>
            </w:r>
            <w:proofErr w:type="gramStart"/>
            <w:r w:rsidRPr="00492A76">
              <w:rPr>
                <w:sz w:val="20"/>
                <w:szCs w:val="20"/>
              </w:rPr>
              <w:t>e.g.</w:t>
            </w:r>
            <w:proofErr w:type="gramEnd"/>
            <w:r w:rsidRPr="00492A76">
              <w:rPr>
                <w:sz w:val="20"/>
                <w:szCs w:val="20"/>
              </w:rPr>
              <w:t xml:space="preserve"> AIC for model structure</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14:paraId="498AAAD3" w14:textId="77777777" w:rsidR="008354E8" w:rsidRPr="00492A76" w:rsidRDefault="008354E8" w:rsidP="00C21C70">
            <w:pPr>
              <w:rPr>
                <w:sz w:val="20"/>
                <w:szCs w:val="20"/>
              </w:rPr>
            </w:pPr>
            <w:r w:rsidRPr="00492A76">
              <w:rPr>
                <w:sz w:val="20"/>
                <w:szCs w:val="20"/>
              </w:rPr>
              <w:t xml:space="preserve">Paper was rechecked by lead author and if no qualifying uncertainty type for the component was identified this was corrected to Answer = No </w:t>
            </w:r>
          </w:p>
        </w:tc>
      </w:tr>
      <w:tr w:rsidR="008354E8" w:rsidRPr="00492A76" w14:paraId="3689E51D" w14:textId="77777777" w:rsidTr="00C21C70">
        <w:trPr>
          <w:trHeight w:val="690"/>
        </w:trPr>
        <w:tc>
          <w:tcPr>
            <w:tcW w:w="3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DD8C6F" w14:textId="77777777" w:rsidR="008354E8" w:rsidRPr="00492A76" w:rsidRDefault="008354E8" w:rsidP="00C21C70">
            <w:pPr>
              <w:rPr>
                <w:sz w:val="20"/>
                <w:szCs w:val="20"/>
              </w:rPr>
            </w:pPr>
            <w:r w:rsidRPr="00492A76">
              <w:rPr>
                <w:sz w:val="20"/>
                <w:szCs w:val="20"/>
              </w:rPr>
              <w:t xml:space="preserve">More than one answer when it should just be one </w:t>
            </w:r>
            <w:proofErr w:type="gramStart"/>
            <w:r w:rsidRPr="00492A76">
              <w:rPr>
                <w:sz w:val="20"/>
                <w:szCs w:val="20"/>
              </w:rPr>
              <w:t>e.g.</w:t>
            </w:r>
            <w:proofErr w:type="gramEnd"/>
            <w:r w:rsidRPr="00492A76">
              <w:rPr>
                <w:sz w:val="20"/>
                <w:szCs w:val="20"/>
              </w:rPr>
              <w:t xml:space="preserve"> “Main/SI”</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14:paraId="7C6129B4" w14:textId="77777777" w:rsidR="008354E8" w:rsidRPr="00492A76" w:rsidRDefault="008354E8" w:rsidP="00C21C70">
            <w:pPr>
              <w:rPr>
                <w:sz w:val="20"/>
                <w:szCs w:val="20"/>
              </w:rPr>
            </w:pPr>
            <w:r w:rsidRPr="00492A76">
              <w:rPr>
                <w:sz w:val="20"/>
                <w:szCs w:val="20"/>
              </w:rPr>
              <w:t xml:space="preserve">Corrected </w:t>
            </w:r>
            <w:proofErr w:type="gramStart"/>
            <w:r w:rsidRPr="00492A76">
              <w:rPr>
                <w:sz w:val="20"/>
                <w:szCs w:val="20"/>
              </w:rPr>
              <w:t>to</w:t>
            </w:r>
            <w:proofErr w:type="gramEnd"/>
            <w:r w:rsidRPr="00492A76">
              <w:rPr>
                <w:sz w:val="20"/>
                <w:szCs w:val="20"/>
              </w:rPr>
              <w:t xml:space="preserve"> “Main” only</w:t>
            </w:r>
          </w:p>
        </w:tc>
      </w:tr>
      <w:tr w:rsidR="008354E8" w:rsidRPr="00492A76" w14:paraId="2F8969FE" w14:textId="77777777" w:rsidTr="00573107">
        <w:trPr>
          <w:trHeight w:val="690"/>
        </w:trPr>
        <w:tc>
          <w:tcPr>
            <w:tcW w:w="3735" w:type="dxa"/>
            <w:tcBorders>
              <w:top w:val="nil"/>
              <w:left w:val="single" w:sz="8" w:space="0" w:color="000000"/>
              <w:bottom w:val="nil"/>
              <w:right w:val="single" w:sz="8" w:space="0" w:color="000000"/>
            </w:tcBorders>
            <w:tcMar>
              <w:top w:w="100" w:type="dxa"/>
              <w:left w:w="100" w:type="dxa"/>
              <w:bottom w:w="100" w:type="dxa"/>
              <w:right w:w="100" w:type="dxa"/>
            </w:tcMar>
          </w:tcPr>
          <w:p w14:paraId="632753CA" w14:textId="77777777" w:rsidR="008354E8" w:rsidRPr="00492A76" w:rsidRDefault="008354E8" w:rsidP="00C21C70">
            <w:pPr>
              <w:rPr>
                <w:sz w:val="20"/>
                <w:szCs w:val="20"/>
              </w:rPr>
            </w:pPr>
            <w:r w:rsidRPr="00492A76">
              <w:rPr>
                <w:sz w:val="20"/>
                <w:szCs w:val="20"/>
              </w:rPr>
              <w:t xml:space="preserve">Syntax errors </w:t>
            </w:r>
            <w:proofErr w:type="gramStart"/>
            <w:r w:rsidRPr="00492A76">
              <w:rPr>
                <w:sz w:val="20"/>
                <w:szCs w:val="20"/>
              </w:rPr>
              <w:t>e.g.</w:t>
            </w:r>
            <w:proofErr w:type="gramEnd"/>
            <w:r w:rsidRPr="00492A76">
              <w:rPr>
                <w:sz w:val="20"/>
                <w:szCs w:val="20"/>
              </w:rPr>
              <w:t xml:space="preserve"> </w:t>
            </w:r>
            <w:proofErr w:type="spellStart"/>
            <w:r w:rsidRPr="00492A76">
              <w:rPr>
                <w:sz w:val="20"/>
                <w:szCs w:val="20"/>
              </w:rPr>
              <w:t>capitalisation</w:t>
            </w:r>
            <w:proofErr w:type="spellEnd"/>
            <w:r w:rsidRPr="00492A76">
              <w:rPr>
                <w:sz w:val="20"/>
                <w:szCs w:val="20"/>
              </w:rPr>
              <w:t xml:space="preserve"> or inconsistent use of spaces</w:t>
            </w:r>
          </w:p>
        </w:tc>
        <w:tc>
          <w:tcPr>
            <w:tcW w:w="5610" w:type="dxa"/>
            <w:tcBorders>
              <w:top w:val="nil"/>
              <w:left w:val="nil"/>
              <w:bottom w:val="nil"/>
              <w:right w:val="single" w:sz="8" w:space="0" w:color="000000"/>
            </w:tcBorders>
            <w:tcMar>
              <w:top w:w="100" w:type="dxa"/>
              <w:left w:w="100" w:type="dxa"/>
              <w:bottom w:w="100" w:type="dxa"/>
              <w:right w:w="100" w:type="dxa"/>
            </w:tcMar>
          </w:tcPr>
          <w:p w14:paraId="76C64672" w14:textId="77777777" w:rsidR="008354E8" w:rsidRPr="00492A76" w:rsidRDefault="008354E8" w:rsidP="00C21C70">
            <w:pPr>
              <w:rPr>
                <w:sz w:val="20"/>
                <w:szCs w:val="20"/>
              </w:rPr>
            </w:pPr>
            <w:r w:rsidRPr="00492A76">
              <w:rPr>
                <w:sz w:val="20"/>
                <w:szCs w:val="20"/>
              </w:rPr>
              <w:t>Corrected in R</w:t>
            </w:r>
          </w:p>
        </w:tc>
      </w:tr>
      <w:tr w:rsidR="00573107" w:rsidRPr="00492A76" w14:paraId="42154180" w14:textId="77777777" w:rsidTr="00C21C70">
        <w:trPr>
          <w:trHeight w:val="690"/>
        </w:trPr>
        <w:tc>
          <w:tcPr>
            <w:tcW w:w="3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5A8545" w14:textId="38E703E6" w:rsidR="00573107" w:rsidRPr="00492A76" w:rsidRDefault="00573107" w:rsidP="00C21C70">
            <w:pPr>
              <w:rPr>
                <w:sz w:val="20"/>
                <w:szCs w:val="20"/>
              </w:rPr>
            </w:pPr>
            <w:r>
              <w:rPr>
                <w:sz w:val="20"/>
                <w:szCs w:val="20"/>
              </w:rPr>
              <w:lastRenderedPageBreak/>
              <w:t>Missing model type</w:t>
            </w:r>
          </w:p>
        </w:tc>
        <w:tc>
          <w:tcPr>
            <w:tcW w:w="5610" w:type="dxa"/>
            <w:tcBorders>
              <w:top w:val="nil"/>
              <w:left w:val="nil"/>
              <w:bottom w:val="single" w:sz="8" w:space="0" w:color="000000"/>
              <w:right w:val="single" w:sz="8" w:space="0" w:color="000000"/>
            </w:tcBorders>
            <w:tcMar>
              <w:top w:w="100" w:type="dxa"/>
              <w:left w:w="100" w:type="dxa"/>
              <w:bottom w:w="100" w:type="dxa"/>
              <w:right w:w="100" w:type="dxa"/>
            </w:tcMar>
          </w:tcPr>
          <w:p w14:paraId="20B7B130" w14:textId="49E35081" w:rsidR="00573107" w:rsidRPr="00492A76" w:rsidRDefault="00573107" w:rsidP="00C21C70">
            <w:pPr>
              <w:rPr>
                <w:sz w:val="20"/>
                <w:szCs w:val="20"/>
              </w:rPr>
            </w:pPr>
            <w:r>
              <w:rPr>
                <w:sz w:val="20"/>
                <w:szCs w:val="20"/>
              </w:rPr>
              <w:t>If clear from comments what the model was, model type was added otherwise left as NA</w:t>
            </w:r>
          </w:p>
        </w:tc>
      </w:tr>
    </w:tbl>
    <w:p w14:paraId="45B40260" w14:textId="77777777" w:rsidR="008354E8" w:rsidRPr="00492A76" w:rsidRDefault="008354E8" w:rsidP="008354E8">
      <w:pPr>
        <w:rPr>
          <w:sz w:val="20"/>
          <w:szCs w:val="20"/>
        </w:rPr>
      </w:pPr>
      <w:r w:rsidRPr="00492A76">
        <w:rPr>
          <w:sz w:val="20"/>
          <w:szCs w:val="20"/>
        </w:rPr>
        <w:t xml:space="preserve"> </w:t>
      </w:r>
    </w:p>
    <w:p w14:paraId="25CBF332" w14:textId="77777777" w:rsidR="008354E8" w:rsidRPr="00BE43C4" w:rsidRDefault="008354E8" w:rsidP="008354E8">
      <w:pPr>
        <w:rPr>
          <w:b/>
          <w:i/>
          <w:iCs/>
          <w:sz w:val="24"/>
          <w:szCs w:val="24"/>
        </w:rPr>
      </w:pPr>
      <w:r w:rsidRPr="00BE43C4">
        <w:rPr>
          <w:b/>
          <w:i/>
          <w:iCs/>
          <w:sz w:val="24"/>
          <w:szCs w:val="24"/>
        </w:rPr>
        <w:t xml:space="preserve">Data </w:t>
      </w:r>
      <w:r>
        <w:rPr>
          <w:b/>
          <w:i/>
          <w:iCs/>
          <w:sz w:val="24"/>
          <w:szCs w:val="24"/>
        </w:rPr>
        <w:t>analysis</w:t>
      </w:r>
    </w:p>
    <w:p w14:paraId="1C3D823C" w14:textId="77777777" w:rsidR="008354E8" w:rsidRDefault="008354E8" w:rsidP="008354E8">
      <w:pPr>
        <w:rPr>
          <w:rFonts w:ascii="Times New Roman" w:eastAsia="Times New Roman" w:hAnsi="Times New Roman" w:cs="Times New Roman"/>
          <w:i/>
          <w:iCs/>
          <w:sz w:val="24"/>
          <w:szCs w:val="24"/>
        </w:rPr>
      </w:pPr>
    </w:p>
    <w:p w14:paraId="7EB9ECB1" w14:textId="44D13709" w:rsidR="008354E8" w:rsidRDefault="008354E8" w:rsidP="008354E8">
      <w:pPr>
        <w:rPr>
          <w:rFonts w:ascii="Times New Roman" w:eastAsia="Times New Roman" w:hAnsi="Times New Roman" w:cs="Times New Roman"/>
          <w:i/>
          <w:iCs/>
          <w:sz w:val="24"/>
          <w:szCs w:val="24"/>
        </w:rPr>
      </w:pPr>
      <w:r>
        <w:rPr>
          <w:rFonts w:eastAsia="Times New Roman"/>
        </w:rPr>
        <w:t xml:space="preserve">Data were </w:t>
      </w:r>
      <w:proofErr w:type="spellStart"/>
      <w:r>
        <w:rPr>
          <w:rFonts w:eastAsia="Times New Roman"/>
        </w:rPr>
        <w:t>summarised</w:t>
      </w:r>
      <w:proofErr w:type="spellEnd"/>
      <w:r>
        <w:rPr>
          <w:rFonts w:eastAsia="Times New Roman"/>
        </w:rPr>
        <w:t xml:space="preserve"> as the percentage of papers that met a particular criterion. All data analyses were conducted in R </w:t>
      </w:r>
      <w:r w:rsidRPr="00B3582E">
        <w:rPr>
          <w:rFonts w:eastAsia="Times New Roman"/>
        </w:rPr>
        <w:t>(versio</w:t>
      </w:r>
      <w:r w:rsidR="00B3582E" w:rsidRPr="00B3582E">
        <w:rPr>
          <w:rFonts w:eastAsia="Times New Roman"/>
        </w:rPr>
        <w:t xml:space="preserve">n 4.2.0 </w:t>
      </w:r>
      <w:r w:rsidR="00B3582E" w:rsidRPr="00B3582E">
        <w:rPr>
          <w:rFonts w:eastAsia="Times New Roman"/>
        </w:rPr>
        <w:fldChar w:fldCharType="begin" w:fldLock="1"/>
      </w:r>
      <w:r w:rsidR="00B3582E">
        <w:rPr>
          <w:rFonts w:eastAsia="Times New Roman"/>
        </w:rPr>
        <w:instrText>ADDIN CSL_CITATION {"citationItems":[{"id":"ITEM-1","itemData":{"author":[{"dropping-particle":"","family":"R Core Team","given":"","non-dropping-particle":"","parse-names":false,"suffix":""}],"id":"ITEM-1","issued":{"date-parts":[["2022"]]},"publisher-place":"Vienna, Austria","title":"R: A Language and Environment for Statistical Computing","type":"article"},"uris":["http://www.mendeley.com/documents/?uuid=2fb9e56f-197f-310c-af67-fec90868ee79"]}],"mendeley":{"formattedCitation":"(R Core Team, 2022)","plainTextFormattedCitation":"(R Core Team, 2022)","previouslyFormattedCitation":"(R Core Team, 2022)"},"properties":{"noteIndex":0},"schema":"https://github.com/citation-style-language/schema/raw/master/csl-citation.json"}</w:instrText>
      </w:r>
      <w:r w:rsidR="00B3582E" w:rsidRPr="00B3582E">
        <w:rPr>
          <w:rFonts w:eastAsia="Times New Roman"/>
        </w:rPr>
        <w:fldChar w:fldCharType="separate"/>
      </w:r>
      <w:r w:rsidR="00B3582E" w:rsidRPr="00B3582E">
        <w:rPr>
          <w:rFonts w:eastAsia="Times New Roman"/>
          <w:noProof/>
        </w:rPr>
        <w:t>(R Core Team, 2022)</w:t>
      </w:r>
      <w:r w:rsidR="00B3582E" w:rsidRPr="00B3582E">
        <w:rPr>
          <w:rFonts w:eastAsia="Times New Roman"/>
        </w:rPr>
        <w:fldChar w:fldCharType="end"/>
      </w:r>
      <w:r w:rsidRPr="00B3582E">
        <w:rPr>
          <w:rFonts w:eastAsia="Times New Roman"/>
        </w:rPr>
        <w:t>).</w:t>
      </w:r>
      <w:r w:rsidRPr="00BE43C4">
        <w:rPr>
          <w:rFonts w:ascii="Times New Roman" w:eastAsia="Times New Roman" w:hAnsi="Times New Roman" w:cs="Times New Roman"/>
          <w:i/>
          <w:iCs/>
          <w:sz w:val="24"/>
          <w:szCs w:val="24"/>
        </w:rPr>
        <w:t xml:space="preserve"> </w:t>
      </w:r>
    </w:p>
    <w:p w14:paraId="3DBA4BA5" w14:textId="77777777" w:rsidR="008354E8" w:rsidRPr="00AF7B9C" w:rsidRDefault="008354E8" w:rsidP="008354E8">
      <w:pPr>
        <w:rPr>
          <w:sz w:val="20"/>
          <w:szCs w:val="20"/>
        </w:rPr>
      </w:pPr>
    </w:p>
    <w:p w14:paraId="2EF4D0D5" w14:textId="77777777" w:rsidR="008354E8" w:rsidRPr="00535C82" w:rsidRDefault="008354E8" w:rsidP="008354E8">
      <w:pPr>
        <w:rPr>
          <w:sz w:val="24"/>
          <w:szCs w:val="24"/>
          <w:lang w:val="en-GB"/>
        </w:rPr>
      </w:pPr>
    </w:p>
    <w:p w14:paraId="66249F30" w14:textId="77777777" w:rsidR="00644FDF" w:rsidRDefault="00644FDF">
      <w:pPr>
        <w:rPr>
          <w:sz w:val="24"/>
          <w:szCs w:val="24"/>
          <w:lang w:val="en-GB"/>
        </w:rPr>
      </w:pPr>
    </w:p>
    <w:sectPr w:rsidR="00644FDF">
      <w:footerReference w:type="even" r:id="rId26"/>
      <w:footerReference w:type="default" r:id="rId27"/>
      <w:pgSz w:w="12240" w:h="15840"/>
      <w:pgMar w:top="851" w:right="851" w:bottom="851" w:left="851" w:header="0" w:footer="0" w:gutter="0"/>
      <w:lnNumType w:countBy="1" w:restart="continuous"/>
      <w:pgNumType w:start="1"/>
      <w:cols w:space="720"/>
      <w:formProt w:val="0"/>
      <w:titlePg/>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5D594" w14:textId="77777777" w:rsidR="00090556" w:rsidRDefault="00090556">
      <w:pPr>
        <w:spacing w:line="240" w:lineRule="auto"/>
      </w:pPr>
      <w:r>
        <w:separator/>
      </w:r>
    </w:p>
  </w:endnote>
  <w:endnote w:type="continuationSeparator" w:id="0">
    <w:p w14:paraId="371E1335" w14:textId="77777777" w:rsidR="00090556" w:rsidRDefault="000905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Roboto">
    <w:panose1 w:val="020B0604020202020204"/>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6044220"/>
      <w:docPartObj>
        <w:docPartGallery w:val="Page Numbers (Bottom of Page)"/>
        <w:docPartUnique/>
      </w:docPartObj>
    </w:sdtPr>
    <w:sdtContent>
      <w:p w14:paraId="1A2F27D9" w14:textId="77777777" w:rsidR="00C732FA" w:rsidRDefault="00C732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187897" w14:textId="77777777" w:rsidR="00C732FA" w:rsidRDefault="00C732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240131"/>
      <w:docPartObj>
        <w:docPartGallery w:val="Page Numbers (Bottom of Page)"/>
        <w:docPartUnique/>
      </w:docPartObj>
    </w:sdtPr>
    <w:sdtContent>
      <w:p w14:paraId="715A51D9" w14:textId="482161B9" w:rsidR="00C732FA" w:rsidRDefault="00C732F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85D40">
          <w:rPr>
            <w:rStyle w:val="PageNumber"/>
            <w:noProof/>
          </w:rPr>
          <w:t>21</w:t>
        </w:r>
        <w:r>
          <w:rPr>
            <w:rStyle w:val="PageNumber"/>
          </w:rPr>
          <w:fldChar w:fldCharType="end"/>
        </w:r>
      </w:p>
    </w:sdtContent>
  </w:sdt>
  <w:p w14:paraId="3102DDBB" w14:textId="77777777" w:rsidR="00C732FA" w:rsidRDefault="00C732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BBEDA" w14:textId="77777777" w:rsidR="00090556" w:rsidRDefault="00090556">
      <w:pPr>
        <w:spacing w:line="240" w:lineRule="auto"/>
      </w:pPr>
      <w:r>
        <w:separator/>
      </w:r>
    </w:p>
  </w:footnote>
  <w:footnote w:type="continuationSeparator" w:id="0">
    <w:p w14:paraId="03854471" w14:textId="77777777" w:rsidR="00090556" w:rsidRDefault="0009055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6F6D"/>
    <w:multiLevelType w:val="multilevel"/>
    <w:tmpl w:val="E18A1C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8CF2255"/>
    <w:multiLevelType w:val="multilevel"/>
    <w:tmpl w:val="9DEE2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817303"/>
    <w:multiLevelType w:val="multilevel"/>
    <w:tmpl w:val="335A6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F545BE"/>
    <w:multiLevelType w:val="hybridMultilevel"/>
    <w:tmpl w:val="4D8C8878"/>
    <w:lvl w:ilvl="0" w:tplc="F2461FDA">
      <w:start w:val="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BD1830"/>
    <w:multiLevelType w:val="multilevel"/>
    <w:tmpl w:val="18D4F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4033F6"/>
    <w:multiLevelType w:val="multilevel"/>
    <w:tmpl w:val="55F64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9E227C7"/>
    <w:multiLevelType w:val="multilevel"/>
    <w:tmpl w:val="6A9C3C3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1ED63CB4"/>
    <w:multiLevelType w:val="multilevel"/>
    <w:tmpl w:val="170A1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8E5291"/>
    <w:multiLevelType w:val="multilevel"/>
    <w:tmpl w:val="79925E0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2B9E1350"/>
    <w:multiLevelType w:val="multilevel"/>
    <w:tmpl w:val="8B886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651040"/>
    <w:multiLevelType w:val="hybridMultilevel"/>
    <w:tmpl w:val="293C2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E361CA"/>
    <w:multiLevelType w:val="hybridMultilevel"/>
    <w:tmpl w:val="A7748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E05D40"/>
    <w:multiLevelType w:val="multilevel"/>
    <w:tmpl w:val="3C8066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598A4512"/>
    <w:multiLevelType w:val="multilevel"/>
    <w:tmpl w:val="8B886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263BD4"/>
    <w:multiLevelType w:val="multilevel"/>
    <w:tmpl w:val="E7C400A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63962E39"/>
    <w:multiLevelType w:val="hybridMultilevel"/>
    <w:tmpl w:val="73142EE4"/>
    <w:lvl w:ilvl="0" w:tplc="3B64B468">
      <w:numFmt w:val="bullet"/>
      <w:lvlText w:val=""/>
      <w:lvlJc w:val="left"/>
      <w:pPr>
        <w:ind w:left="1080" w:hanging="360"/>
      </w:pPr>
      <w:rPr>
        <w:rFonts w:ascii="Symbol" w:eastAsia="Arial" w:hAnsi="Symbol" w:cs="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6BB68F2"/>
    <w:multiLevelType w:val="multilevel"/>
    <w:tmpl w:val="9EE44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D975CF6"/>
    <w:multiLevelType w:val="hybridMultilevel"/>
    <w:tmpl w:val="04F6D2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853108738">
    <w:abstractNumId w:val="8"/>
  </w:num>
  <w:num w:numId="2" w16cid:durableId="6636072">
    <w:abstractNumId w:val="12"/>
  </w:num>
  <w:num w:numId="3" w16cid:durableId="1277372732">
    <w:abstractNumId w:val="11"/>
  </w:num>
  <w:num w:numId="4" w16cid:durableId="652297430">
    <w:abstractNumId w:val="0"/>
  </w:num>
  <w:num w:numId="5" w16cid:durableId="1778325433">
    <w:abstractNumId w:val="6"/>
  </w:num>
  <w:num w:numId="6" w16cid:durableId="713961869">
    <w:abstractNumId w:val="14"/>
  </w:num>
  <w:num w:numId="7" w16cid:durableId="788402604">
    <w:abstractNumId w:val="7"/>
  </w:num>
  <w:num w:numId="8" w16cid:durableId="1719358074">
    <w:abstractNumId w:val="16"/>
  </w:num>
  <w:num w:numId="9" w16cid:durableId="2098744011">
    <w:abstractNumId w:val="2"/>
  </w:num>
  <w:num w:numId="10" w16cid:durableId="974213555">
    <w:abstractNumId w:val="4"/>
  </w:num>
  <w:num w:numId="11" w16cid:durableId="2071226829">
    <w:abstractNumId w:val="15"/>
  </w:num>
  <w:num w:numId="12" w16cid:durableId="886182353">
    <w:abstractNumId w:val="5"/>
  </w:num>
  <w:num w:numId="13" w16cid:durableId="1822965355">
    <w:abstractNumId w:val="17"/>
  </w:num>
  <w:num w:numId="14" w16cid:durableId="1360931259">
    <w:abstractNumId w:val="9"/>
  </w:num>
  <w:num w:numId="15" w16cid:durableId="1854882942">
    <w:abstractNumId w:val="13"/>
  </w:num>
  <w:num w:numId="16" w16cid:durableId="634022033">
    <w:abstractNumId w:val="1"/>
  </w:num>
  <w:num w:numId="17" w16cid:durableId="1302344978">
    <w:abstractNumId w:val="10"/>
  </w:num>
  <w:num w:numId="18" w16cid:durableId="21043726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FDF"/>
    <w:rsid w:val="00040FFB"/>
    <w:rsid w:val="00057B9B"/>
    <w:rsid w:val="000848C0"/>
    <w:rsid w:val="0009054F"/>
    <w:rsid w:val="00090556"/>
    <w:rsid w:val="000C5D05"/>
    <w:rsid w:val="000F225C"/>
    <w:rsid w:val="00143437"/>
    <w:rsid w:val="001645C0"/>
    <w:rsid w:val="00173395"/>
    <w:rsid w:val="0019124F"/>
    <w:rsid w:val="001A5DAF"/>
    <w:rsid w:val="001C5811"/>
    <w:rsid w:val="001C6B71"/>
    <w:rsid w:val="001F1353"/>
    <w:rsid w:val="00205ED0"/>
    <w:rsid w:val="00244B7D"/>
    <w:rsid w:val="00286A98"/>
    <w:rsid w:val="002F0B7E"/>
    <w:rsid w:val="0031428A"/>
    <w:rsid w:val="00336B26"/>
    <w:rsid w:val="00370873"/>
    <w:rsid w:val="00393364"/>
    <w:rsid w:val="003E5F2F"/>
    <w:rsid w:val="003F0400"/>
    <w:rsid w:val="00436AF2"/>
    <w:rsid w:val="004C712E"/>
    <w:rsid w:val="004D3F98"/>
    <w:rsid w:val="004E6F24"/>
    <w:rsid w:val="004F4687"/>
    <w:rsid w:val="004F7B23"/>
    <w:rsid w:val="00504B27"/>
    <w:rsid w:val="00531A1A"/>
    <w:rsid w:val="00543796"/>
    <w:rsid w:val="00573107"/>
    <w:rsid w:val="00590C49"/>
    <w:rsid w:val="00601AD6"/>
    <w:rsid w:val="00644FDF"/>
    <w:rsid w:val="006655CC"/>
    <w:rsid w:val="006953B8"/>
    <w:rsid w:val="006E1ED7"/>
    <w:rsid w:val="006E54D5"/>
    <w:rsid w:val="006E6C04"/>
    <w:rsid w:val="006F4BEC"/>
    <w:rsid w:val="007018E4"/>
    <w:rsid w:val="00752863"/>
    <w:rsid w:val="0079053E"/>
    <w:rsid w:val="007F1970"/>
    <w:rsid w:val="00812265"/>
    <w:rsid w:val="008354E8"/>
    <w:rsid w:val="008417E1"/>
    <w:rsid w:val="00860B24"/>
    <w:rsid w:val="00884280"/>
    <w:rsid w:val="00891B01"/>
    <w:rsid w:val="008959F2"/>
    <w:rsid w:val="00895CD7"/>
    <w:rsid w:val="008A153C"/>
    <w:rsid w:val="008C3670"/>
    <w:rsid w:val="00911E51"/>
    <w:rsid w:val="009148BD"/>
    <w:rsid w:val="009779A7"/>
    <w:rsid w:val="009836F1"/>
    <w:rsid w:val="00992EDD"/>
    <w:rsid w:val="009C289F"/>
    <w:rsid w:val="00A26B61"/>
    <w:rsid w:val="00AB3532"/>
    <w:rsid w:val="00AC1892"/>
    <w:rsid w:val="00AE5D17"/>
    <w:rsid w:val="00B3582E"/>
    <w:rsid w:val="00B80356"/>
    <w:rsid w:val="00B83417"/>
    <w:rsid w:val="00B85D40"/>
    <w:rsid w:val="00B90ADD"/>
    <w:rsid w:val="00B95DAC"/>
    <w:rsid w:val="00BA2A93"/>
    <w:rsid w:val="00BD1EBC"/>
    <w:rsid w:val="00BD4033"/>
    <w:rsid w:val="00BD64A0"/>
    <w:rsid w:val="00BF2A4C"/>
    <w:rsid w:val="00C10F51"/>
    <w:rsid w:val="00C11745"/>
    <w:rsid w:val="00C255C1"/>
    <w:rsid w:val="00C309F5"/>
    <w:rsid w:val="00C33D21"/>
    <w:rsid w:val="00C42C5F"/>
    <w:rsid w:val="00C47FE3"/>
    <w:rsid w:val="00C604FF"/>
    <w:rsid w:val="00C66E28"/>
    <w:rsid w:val="00C732FA"/>
    <w:rsid w:val="00CD13E7"/>
    <w:rsid w:val="00CD1997"/>
    <w:rsid w:val="00CF7A02"/>
    <w:rsid w:val="00D05E36"/>
    <w:rsid w:val="00D07053"/>
    <w:rsid w:val="00D17E88"/>
    <w:rsid w:val="00D44DC2"/>
    <w:rsid w:val="00DA52B2"/>
    <w:rsid w:val="00DF3764"/>
    <w:rsid w:val="00E042CC"/>
    <w:rsid w:val="00E301DF"/>
    <w:rsid w:val="00E45F34"/>
    <w:rsid w:val="00EB0B11"/>
    <w:rsid w:val="00EB2AF2"/>
    <w:rsid w:val="00ED3AB1"/>
    <w:rsid w:val="00F225B6"/>
    <w:rsid w:val="00F56AC3"/>
    <w:rsid w:val="00F57B14"/>
    <w:rsid w:val="00F6276F"/>
    <w:rsid w:val="00F775CD"/>
    <w:rsid w:val="00F82C75"/>
    <w:rsid w:val="00FB050F"/>
    <w:rsid w:val="00FE4966"/>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BADB3"/>
  <w15:docId w15:val="{2FD8E25C-7EBE-4A7E-A345-C979C2A22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qFormat/>
    <w:rPr>
      <w:sz w:val="20"/>
      <w:szCs w:val="20"/>
    </w:rPr>
  </w:style>
  <w:style w:type="character" w:styleId="CommentReference">
    <w:name w:val="annotation reference"/>
    <w:basedOn w:val="DefaultParagraphFont"/>
    <w:uiPriority w:val="99"/>
    <w:semiHidden/>
    <w:unhideWhenUsed/>
    <w:qFormat/>
    <w:rPr>
      <w:sz w:val="16"/>
      <w:szCs w:val="16"/>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pPr>
      <w:spacing w:after="140"/>
    </w:pPr>
  </w:style>
  <w:style w:type="paragraph" w:styleId="List">
    <w:name w:val="List"/>
    <w:basedOn w:val="BodyText"/>
    <w:rPr>
      <w:rFonts w:cs="Arial Unicode MS"/>
    </w:rPr>
  </w:style>
  <w:style w:type="paragraph" w:styleId="Caption">
    <w:name w:val="caption"/>
    <w:basedOn w:val="Normal"/>
    <w:uiPriority w:val="35"/>
    <w:qFormat/>
    <w:pPr>
      <w:suppressLineNumbers/>
      <w:spacing w:before="120" w:after="120"/>
    </w:pPr>
    <w:rPr>
      <w:rFonts w:cs="Arial Unicode MS"/>
      <w:i/>
      <w:iCs/>
      <w:sz w:val="24"/>
      <w:szCs w:val="24"/>
    </w:rPr>
  </w:style>
  <w:style w:type="paragraph" w:customStyle="1" w:styleId="Index">
    <w:name w:val="Index"/>
    <w:basedOn w:val="Normal"/>
    <w:qFormat/>
    <w:pPr>
      <w:suppressLineNumbers/>
    </w:pPr>
    <w:rPr>
      <w:rFonts w:cs="Arial Unicode MS"/>
    </w:rPr>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Revision">
    <w:name w:val="Revision"/>
    <w:uiPriority w:val="99"/>
    <w:semiHidden/>
    <w:qFormat/>
  </w:style>
  <w:style w:type="paragraph" w:styleId="ListParagraph">
    <w:name w:val="List Paragraph"/>
    <w:basedOn w:val="Normal"/>
    <w:uiPriority w:val="34"/>
    <w:qFormat/>
    <w:pPr>
      <w:ind w:left="720"/>
      <w:contextualSpacing/>
    </w:p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Pr>
      <w:rFonts w:ascii="Times New Roman" w:hAnsi="Times New Roman" w:cs="Times New Roman"/>
      <w:sz w:val="18"/>
      <w:szCs w:val="18"/>
    </w:rPr>
  </w:style>
  <w:style w:type="character" w:styleId="Hyperlink">
    <w:name w:val="Hyperlink"/>
    <w:basedOn w:val="DefaultParagraphFont"/>
    <w:uiPriority w:val="99"/>
    <w:unhideWhenUsed/>
    <w:rPr>
      <w:color w:val="0000FF"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Acknowledgement">
    <w:name w:val="Acknowledgement"/>
    <w:basedOn w:val="Normal"/>
    <w:pPr>
      <w:suppressAutoHyphens w:val="0"/>
      <w:spacing w:before="120" w:line="240" w:lineRule="auto"/>
      <w:ind w:left="720" w:hanging="720"/>
    </w:pPr>
    <w:rPr>
      <w:rFonts w:ascii="Times New Roman" w:eastAsia="Times New Roman" w:hAnsi="Times New Roman" w:cs="Times New Roman"/>
      <w:sz w:val="24"/>
      <w:szCs w:val="24"/>
      <w:lang w:val="en-US" w:eastAsia="en-US"/>
    </w:rPr>
  </w:style>
  <w:style w:type="paragraph" w:customStyle="1" w:styleId="acknowledgement0">
    <w:name w:val="acknowledgement"/>
    <w:basedOn w:val="Normal"/>
    <w:pPr>
      <w:suppressAutoHyphens w:val="0"/>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pPr>
      <w:tabs>
        <w:tab w:val="center" w:pos="4513"/>
        <w:tab w:val="right" w:pos="9026"/>
      </w:tabs>
      <w:spacing w:line="240" w:lineRule="auto"/>
    </w:pPr>
  </w:style>
  <w:style w:type="character" w:customStyle="1" w:styleId="FooterChar">
    <w:name w:val="Footer Char"/>
    <w:basedOn w:val="DefaultParagraphFont"/>
    <w:link w:val="Footer"/>
    <w:uiPriority w:val="99"/>
  </w:style>
  <w:style w:type="character" w:styleId="PageNumber">
    <w:name w:val="page number"/>
    <w:basedOn w:val="DefaultParagraphFont"/>
    <w:uiPriority w:val="99"/>
    <w:semiHidden/>
    <w:unhideWhenUsed/>
  </w:style>
  <w:style w:type="table" w:styleId="PlainTable3">
    <w:name w:val="Plain Table 3"/>
    <w:basedOn w:val="TableNormal"/>
    <w:uiPriority w:val="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rsid w:val="008354E8"/>
    <w:rPr>
      <w:sz w:val="40"/>
      <w:szCs w:val="40"/>
    </w:rPr>
  </w:style>
  <w:style w:type="character" w:customStyle="1" w:styleId="Heading2Char">
    <w:name w:val="Heading 2 Char"/>
    <w:basedOn w:val="DefaultParagraphFont"/>
    <w:link w:val="Heading2"/>
    <w:uiPriority w:val="9"/>
    <w:rsid w:val="008354E8"/>
    <w:rPr>
      <w:sz w:val="32"/>
      <w:szCs w:val="32"/>
    </w:rPr>
  </w:style>
  <w:style w:type="character" w:customStyle="1" w:styleId="Heading3Char">
    <w:name w:val="Heading 3 Char"/>
    <w:basedOn w:val="DefaultParagraphFont"/>
    <w:link w:val="Heading3"/>
    <w:uiPriority w:val="9"/>
    <w:semiHidden/>
    <w:rsid w:val="008354E8"/>
    <w:rPr>
      <w:color w:val="434343"/>
      <w:sz w:val="28"/>
      <w:szCs w:val="28"/>
    </w:rPr>
  </w:style>
  <w:style w:type="character" w:customStyle="1" w:styleId="Heading4Char">
    <w:name w:val="Heading 4 Char"/>
    <w:basedOn w:val="DefaultParagraphFont"/>
    <w:link w:val="Heading4"/>
    <w:uiPriority w:val="9"/>
    <w:semiHidden/>
    <w:rsid w:val="008354E8"/>
    <w:rPr>
      <w:color w:val="666666"/>
      <w:sz w:val="24"/>
      <w:szCs w:val="24"/>
    </w:rPr>
  </w:style>
  <w:style w:type="character" w:customStyle="1" w:styleId="Heading5Char">
    <w:name w:val="Heading 5 Char"/>
    <w:basedOn w:val="DefaultParagraphFont"/>
    <w:link w:val="Heading5"/>
    <w:uiPriority w:val="9"/>
    <w:semiHidden/>
    <w:rsid w:val="008354E8"/>
    <w:rPr>
      <w:color w:val="666666"/>
    </w:rPr>
  </w:style>
  <w:style w:type="character" w:customStyle="1" w:styleId="Heading6Char">
    <w:name w:val="Heading 6 Char"/>
    <w:basedOn w:val="DefaultParagraphFont"/>
    <w:link w:val="Heading6"/>
    <w:uiPriority w:val="9"/>
    <w:semiHidden/>
    <w:rsid w:val="008354E8"/>
    <w:rPr>
      <w:i/>
      <w:color w:val="666666"/>
    </w:rPr>
  </w:style>
  <w:style w:type="character" w:customStyle="1" w:styleId="BodyTextChar">
    <w:name w:val="Body Text Char"/>
    <w:basedOn w:val="DefaultParagraphFont"/>
    <w:link w:val="BodyText"/>
    <w:rsid w:val="008354E8"/>
  </w:style>
  <w:style w:type="character" w:customStyle="1" w:styleId="TitleChar">
    <w:name w:val="Title Char"/>
    <w:basedOn w:val="DefaultParagraphFont"/>
    <w:link w:val="Title"/>
    <w:uiPriority w:val="10"/>
    <w:rsid w:val="008354E8"/>
    <w:rPr>
      <w:sz w:val="52"/>
      <w:szCs w:val="52"/>
    </w:rPr>
  </w:style>
  <w:style w:type="character" w:customStyle="1" w:styleId="SubtitleChar">
    <w:name w:val="Subtitle Char"/>
    <w:basedOn w:val="DefaultParagraphFont"/>
    <w:link w:val="Subtitle"/>
    <w:uiPriority w:val="11"/>
    <w:rsid w:val="008354E8"/>
    <w:rPr>
      <w:color w:val="666666"/>
      <w:sz w:val="30"/>
      <w:szCs w:val="30"/>
    </w:rPr>
  </w:style>
  <w:style w:type="character" w:customStyle="1" w:styleId="CommentTextChar1">
    <w:name w:val="Comment Text Char1"/>
    <w:basedOn w:val="DefaultParagraphFont"/>
    <w:uiPriority w:val="99"/>
    <w:semiHidden/>
    <w:rsid w:val="008354E8"/>
    <w:rPr>
      <w:sz w:val="20"/>
      <w:szCs w:val="20"/>
    </w:rPr>
  </w:style>
  <w:style w:type="character" w:customStyle="1" w:styleId="CommentSubjectChar1">
    <w:name w:val="Comment Subject Char1"/>
    <w:basedOn w:val="CommentTextChar1"/>
    <w:uiPriority w:val="99"/>
    <w:semiHidden/>
    <w:rsid w:val="008354E8"/>
    <w:rPr>
      <w:b/>
      <w:bCs/>
      <w:sz w:val="20"/>
      <w:szCs w:val="20"/>
    </w:rPr>
  </w:style>
  <w:style w:type="character" w:styleId="UnresolvedMention">
    <w:name w:val="Unresolved Mention"/>
    <w:basedOn w:val="DefaultParagraphFont"/>
    <w:uiPriority w:val="99"/>
    <w:semiHidden/>
    <w:unhideWhenUsed/>
    <w:rsid w:val="008354E8"/>
    <w:rPr>
      <w:color w:val="605E5C"/>
      <w:shd w:val="clear" w:color="auto" w:fill="E1DFDD"/>
    </w:rPr>
  </w:style>
  <w:style w:type="paragraph" w:customStyle="1" w:styleId="Default">
    <w:name w:val="Default"/>
    <w:rsid w:val="008354E8"/>
    <w:pPr>
      <w:suppressAutoHyphens w:val="0"/>
      <w:autoSpaceDE w:val="0"/>
      <w:autoSpaceDN w:val="0"/>
      <w:adjustRightInd w:val="0"/>
    </w:pPr>
    <w:rPr>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85897">
      <w:bodyDiv w:val="1"/>
      <w:marLeft w:val="0"/>
      <w:marRight w:val="0"/>
      <w:marTop w:val="0"/>
      <w:marBottom w:val="0"/>
      <w:divBdr>
        <w:top w:val="none" w:sz="0" w:space="0" w:color="auto"/>
        <w:left w:val="none" w:sz="0" w:space="0" w:color="auto"/>
        <w:bottom w:val="none" w:sz="0" w:space="0" w:color="auto"/>
        <w:right w:val="none" w:sz="0" w:space="0" w:color="auto"/>
      </w:divBdr>
    </w:div>
    <w:div w:id="437601701">
      <w:bodyDiv w:val="1"/>
      <w:marLeft w:val="0"/>
      <w:marRight w:val="0"/>
      <w:marTop w:val="0"/>
      <w:marBottom w:val="0"/>
      <w:divBdr>
        <w:top w:val="none" w:sz="0" w:space="0" w:color="auto"/>
        <w:left w:val="none" w:sz="0" w:space="0" w:color="auto"/>
        <w:bottom w:val="none" w:sz="0" w:space="0" w:color="auto"/>
        <w:right w:val="none" w:sz="0" w:space="0" w:color="auto"/>
      </w:divBdr>
      <w:divsChild>
        <w:div w:id="1406487642">
          <w:marLeft w:val="0"/>
          <w:marRight w:val="0"/>
          <w:marTop w:val="0"/>
          <w:marBottom w:val="0"/>
          <w:divBdr>
            <w:top w:val="none" w:sz="0" w:space="0" w:color="auto"/>
            <w:left w:val="none" w:sz="0" w:space="0" w:color="auto"/>
            <w:bottom w:val="none" w:sz="0" w:space="0" w:color="auto"/>
            <w:right w:val="none" w:sz="0" w:space="0" w:color="auto"/>
          </w:divBdr>
        </w:div>
        <w:div w:id="917136091">
          <w:marLeft w:val="0"/>
          <w:marRight w:val="0"/>
          <w:marTop w:val="0"/>
          <w:marBottom w:val="0"/>
          <w:divBdr>
            <w:top w:val="none" w:sz="0" w:space="0" w:color="auto"/>
            <w:left w:val="none" w:sz="0" w:space="0" w:color="auto"/>
            <w:bottom w:val="none" w:sz="0" w:space="0" w:color="auto"/>
            <w:right w:val="none" w:sz="0" w:space="0" w:color="auto"/>
          </w:divBdr>
        </w:div>
      </w:divsChild>
    </w:div>
    <w:div w:id="572277484">
      <w:bodyDiv w:val="1"/>
      <w:marLeft w:val="0"/>
      <w:marRight w:val="0"/>
      <w:marTop w:val="0"/>
      <w:marBottom w:val="0"/>
      <w:divBdr>
        <w:top w:val="none" w:sz="0" w:space="0" w:color="auto"/>
        <w:left w:val="none" w:sz="0" w:space="0" w:color="auto"/>
        <w:bottom w:val="none" w:sz="0" w:space="0" w:color="auto"/>
        <w:right w:val="none" w:sz="0" w:space="0" w:color="auto"/>
      </w:divBdr>
    </w:div>
    <w:div w:id="1037463430">
      <w:bodyDiv w:val="1"/>
      <w:marLeft w:val="0"/>
      <w:marRight w:val="0"/>
      <w:marTop w:val="0"/>
      <w:marBottom w:val="0"/>
      <w:divBdr>
        <w:top w:val="none" w:sz="0" w:space="0" w:color="auto"/>
        <w:left w:val="none" w:sz="0" w:space="0" w:color="auto"/>
        <w:bottom w:val="none" w:sz="0" w:space="0" w:color="auto"/>
        <w:right w:val="none" w:sz="0" w:space="0" w:color="auto"/>
      </w:divBdr>
    </w:div>
    <w:div w:id="1162310241">
      <w:bodyDiv w:val="1"/>
      <w:marLeft w:val="0"/>
      <w:marRight w:val="0"/>
      <w:marTop w:val="0"/>
      <w:marBottom w:val="0"/>
      <w:divBdr>
        <w:top w:val="none" w:sz="0" w:space="0" w:color="auto"/>
        <w:left w:val="none" w:sz="0" w:space="0" w:color="auto"/>
        <w:bottom w:val="none" w:sz="0" w:space="0" w:color="auto"/>
        <w:right w:val="none" w:sz="0" w:space="0" w:color="auto"/>
      </w:divBdr>
    </w:div>
    <w:div w:id="1601983055">
      <w:bodyDiv w:val="1"/>
      <w:marLeft w:val="0"/>
      <w:marRight w:val="0"/>
      <w:marTop w:val="0"/>
      <w:marBottom w:val="0"/>
      <w:divBdr>
        <w:top w:val="none" w:sz="0" w:space="0" w:color="auto"/>
        <w:left w:val="none" w:sz="0" w:space="0" w:color="auto"/>
        <w:bottom w:val="none" w:sz="0" w:space="0" w:color="auto"/>
        <w:right w:val="none" w:sz="0" w:space="0" w:color="auto"/>
      </w:divBdr>
    </w:div>
    <w:div w:id="1676180525">
      <w:bodyDiv w:val="1"/>
      <w:marLeft w:val="0"/>
      <w:marRight w:val="0"/>
      <w:marTop w:val="0"/>
      <w:marBottom w:val="0"/>
      <w:divBdr>
        <w:top w:val="none" w:sz="0" w:space="0" w:color="auto"/>
        <w:left w:val="none" w:sz="0" w:space="0" w:color="auto"/>
        <w:bottom w:val="none" w:sz="0" w:space="0" w:color="auto"/>
        <w:right w:val="none" w:sz="0" w:space="0" w:color="auto"/>
      </w:divBdr>
    </w:div>
    <w:div w:id="1786582912">
      <w:bodyDiv w:val="1"/>
      <w:marLeft w:val="0"/>
      <w:marRight w:val="0"/>
      <w:marTop w:val="0"/>
      <w:marBottom w:val="0"/>
      <w:divBdr>
        <w:top w:val="none" w:sz="0" w:space="0" w:color="auto"/>
        <w:left w:val="none" w:sz="0" w:space="0" w:color="auto"/>
        <w:bottom w:val="none" w:sz="0" w:space="0" w:color="auto"/>
        <w:right w:val="none" w:sz="0" w:space="0" w:color="auto"/>
      </w:divBdr>
    </w:div>
    <w:div w:id="1881480134">
      <w:bodyDiv w:val="1"/>
      <w:marLeft w:val="0"/>
      <w:marRight w:val="0"/>
      <w:marTop w:val="0"/>
      <w:marBottom w:val="0"/>
      <w:divBdr>
        <w:top w:val="none" w:sz="0" w:space="0" w:color="auto"/>
        <w:left w:val="none" w:sz="0" w:space="0" w:color="auto"/>
        <w:bottom w:val="none" w:sz="0" w:space="0" w:color="auto"/>
        <w:right w:val="none" w:sz="0" w:space="0" w:color="auto"/>
      </w:divBdr>
    </w:div>
    <w:div w:id="2016495567">
      <w:bodyDiv w:val="1"/>
      <w:marLeft w:val="0"/>
      <w:marRight w:val="0"/>
      <w:marTop w:val="0"/>
      <w:marBottom w:val="0"/>
      <w:divBdr>
        <w:top w:val="none" w:sz="0" w:space="0" w:color="auto"/>
        <w:left w:val="none" w:sz="0" w:space="0" w:color="auto"/>
        <w:bottom w:val="none" w:sz="0" w:space="0" w:color="auto"/>
        <w:right w:val="none" w:sz="0" w:space="0" w:color="auto"/>
      </w:divBdr>
    </w:div>
    <w:div w:id="20618974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ilygsimmonds@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361AF-ED61-4D9E-AEB1-17C9BC7B4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42</Pages>
  <Words>55912</Words>
  <Characters>318700</Characters>
  <Application>Microsoft Office Word</Application>
  <DocSecurity>0</DocSecurity>
  <Lines>2655</Lines>
  <Paragraphs>747</Paragraphs>
  <ScaleCrop>false</ScaleCrop>
  <HeadingPairs>
    <vt:vector size="8" baseType="variant">
      <vt:variant>
        <vt:lpstr>Title</vt:lpstr>
      </vt:variant>
      <vt:variant>
        <vt:i4>1</vt:i4>
      </vt:variant>
      <vt:variant>
        <vt:lpstr>Título</vt:lpstr>
      </vt:variant>
      <vt:variant>
        <vt:i4>1</vt:i4>
      </vt:variant>
      <vt:variant>
        <vt:lpstr>Titel</vt:lpstr>
      </vt:variant>
      <vt:variant>
        <vt:i4>1</vt:i4>
      </vt:variant>
      <vt:variant>
        <vt:lpstr>Tittel</vt:lpstr>
      </vt:variant>
      <vt:variant>
        <vt:i4>1</vt:i4>
      </vt:variant>
    </vt:vector>
  </HeadingPairs>
  <TitlesOfParts>
    <vt:vector size="4" baseType="lpstr">
      <vt:lpstr/>
      <vt:lpstr/>
      <vt:lpstr/>
      <vt:lpstr/>
    </vt:vector>
  </TitlesOfParts>
  <Company/>
  <LinksUpToDate>false</LinksUpToDate>
  <CharactersWithSpaces>373865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Laverick</dc:creator>
  <dc:description/>
  <cp:lastModifiedBy>Emily Grace Simmonds</cp:lastModifiedBy>
  <cp:revision>22</cp:revision>
  <dcterms:created xsi:type="dcterms:W3CDTF">2022-10-06T13:48:00Z</dcterms:created>
  <dcterms:modified xsi:type="dcterms:W3CDTF">2022-10-10T08:49:00Z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http://www.zotero.org/styles/iscience</vt:lpwstr>
  </property>
  <property fmtid="{D5CDD505-2E9C-101B-9397-08002B2CF9AE}" pid="3" name="Mendeley Document_1">
    <vt:lpwstr>True</vt:lpwstr>
  </property>
  <property fmtid="{D5CDD505-2E9C-101B-9397-08002B2CF9AE}" pid="4" name="Mendeley Recent Style Id 0_1">
    <vt:lpwstr>http://www.zotero.org/styles/chicago-author-date</vt:lpwstr>
  </property>
  <property fmtid="{D5CDD505-2E9C-101B-9397-08002B2CF9AE}" pid="5" name="Mendeley Recent Style Id 1_1">
    <vt:lpwstr>http://csl.mendeley.com/styles/26268081/harvard-cite-them-right-comma-2</vt:lpwstr>
  </property>
  <property fmtid="{D5CDD505-2E9C-101B-9397-08002B2CF9AE}" pid="6" name="Mendeley Recent Style Id 2_1">
    <vt:lpwstr>http://csl.mendeley.com/styles/26268081/harvard-cite-them-right-comma</vt:lpwstr>
  </property>
  <property fmtid="{D5CDD505-2E9C-101B-9397-08002B2CF9AE}" pid="7" name="Mendeley Recent Style Id 3_1">
    <vt:lpwstr>http://www.zotero.org/styles/ecology-letters</vt:lpwstr>
  </property>
  <property fmtid="{D5CDD505-2E9C-101B-9397-08002B2CF9AE}" pid="8" name="Mendeley Recent Style Id 4_1">
    <vt:lpwstr>http://www.zotero.org/styles/global-change-biology</vt:lpwstr>
  </property>
  <property fmtid="{D5CDD505-2E9C-101B-9397-08002B2CF9AE}" pid="9" name="Mendeley Recent Style Id 5_1">
    <vt:lpwstr>http://www.zotero.org/styles/modern-language-association</vt:lpwstr>
  </property>
  <property fmtid="{D5CDD505-2E9C-101B-9397-08002B2CF9AE}" pid="10" name="Mendeley Recent Style Id 6_1">
    <vt:lpwstr>http://www.zotero.org/styles/nature</vt:lpwstr>
  </property>
  <property fmtid="{D5CDD505-2E9C-101B-9397-08002B2CF9AE}" pid="11" name="Mendeley Recent Style Id 7_1">
    <vt:lpwstr>http://csl.mendeley.com/styles/26268081/nature-2</vt:lpwstr>
  </property>
  <property fmtid="{D5CDD505-2E9C-101B-9397-08002B2CF9AE}" pid="12" name="Mendeley Recent Style Id 8_1">
    <vt:lpwstr>http://www.zotero.org/styles/science</vt:lpwstr>
  </property>
  <property fmtid="{D5CDD505-2E9C-101B-9397-08002B2CF9AE}" pid="13" name="Mendeley Recent Style Id 9_1">
    <vt:lpwstr>http://www.zotero.org/styles/iscience</vt:lpwstr>
  </property>
  <property fmtid="{D5CDD505-2E9C-101B-9397-08002B2CF9AE}" pid="14" name="Mendeley Recent Style Name 0_1">
    <vt:lpwstr>Chicago Manual of Style 17th edition (author-date)</vt:lpwstr>
  </property>
  <property fmtid="{D5CDD505-2E9C-101B-9397-08002B2CF9AE}" pid="15" name="Mendeley Recent Style Name 1_1">
    <vt:lpwstr>Cite Them Right 10th edition - Harvard - Emily Simmonds</vt:lpwstr>
  </property>
  <property fmtid="{D5CDD505-2E9C-101B-9397-08002B2CF9AE}" pid="16" name="Mendeley Recent Style Name 2_1">
    <vt:lpwstr>Cite Them Right 10th edition - Harvard - Emily Simmonds</vt:lpwstr>
  </property>
  <property fmtid="{D5CDD505-2E9C-101B-9397-08002B2CF9AE}" pid="17" name="Mendeley Recent Style Name 3_1">
    <vt:lpwstr>Ecology Letters</vt:lpwstr>
  </property>
  <property fmtid="{D5CDD505-2E9C-101B-9397-08002B2CF9AE}" pid="18" name="Mendeley Recent Style Name 4_1">
    <vt:lpwstr>Global Change Biology</vt:lpwstr>
  </property>
  <property fmtid="{D5CDD505-2E9C-101B-9397-08002B2CF9AE}" pid="19" name="Mendeley Recent Style Name 5_1">
    <vt:lpwstr>Modern Language Association 8th edition</vt:lpwstr>
  </property>
  <property fmtid="{D5CDD505-2E9C-101B-9397-08002B2CF9AE}" pid="20" name="Mendeley Recent Style Name 6_1">
    <vt:lpwstr>Nature</vt:lpwstr>
  </property>
  <property fmtid="{D5CDD505-2E9C-101B-9397-08002B2CF9AE}" pid="21" name="Mendeley Recent Style Name 7_1">
    <vt:lpwstr>Nature - Emily Simmonds</vt:lpwstr>
  </property>
  <property fmtid="{D5CDD505-2E9C-101B-9397-08002B2CF9AE}" pid="22" name="Mendeley Recent Style Name 8_1">
    <vt:lpwstr>Science</vt:lpwstr>
  </property>
  <property fmtid="{D5CDD505-2E9C-101B-9397-08002B2CF9AE}" pid="23" name="Mendeley Recent Style Name 9_1">
    <vt:lpwstr>iScience</vt:lpwstr>
  </property>
  <property fmtid="{D5CDD505-2E9C-101B-9397-08002B2CF9AE}" pid="24" name="Mendeley Unique User Id_1">
    <vt:lpwstr>10edd8ed-95e5-31a5-a930-b00552c3844d</vt:lpwstr>
  </property>
</Properties>
</file>